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516A9" w14:textId="14DD4791"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F46D37">
        <w:rPr>
          <w:rFonts w:ascii="Arial" w:hAnsi="Arial" w:cs="Arial"/>
          <w:b/>
          <w:sz w:val="24"/>
          <w:szCs w:val="24"/>
          <w:lang w:eastAsia="zh-CN"/>
        </w:rPr>
        <w:t>8</w:t>
      </w:r>
      <w:r w:rsidR="00684F66">
        <w:rPr>
          <w:rFonts w:ascii="Arial" w:hAnsi="Arial" w:cs="Arial"/>
          <w:b/>
          <w:sz w:val="24"/>
          <w:szCs w:val="24"/>
          <w:lang w:eastAsia="zh-CN"/>
        </w:rPr>
        <w:t>-bis-</w:t>
      </w:r>
      <w:r>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w:t>
      </w:r>
      <w:r w:rsidRPr="00AB206B">
        <w:rPr>
          <w:rFonts w:ascii="Arial" w:hAnsi="Arial" w:cs="Arial"/>
          <w:b/>
          <w:sz w:val="24"/>
          <w:szCs w:val="24"/>
          <w:lang w:eastAsia="zh-CN"/>
        </w:rPr>
        <w:t>2</w:t>
      </w:r>
      <w:r w:rsidR="00F46D37" w:rsidRPr="00AB206B">
        <w:rPr>
          <w:rFonts w:ascii="Arial" w:hAnsi="Arial" w:cs="Arial"/>
          <w:b/>
          <w:sz w:val="24"/>
          <w:szCs w:val="24"/>
          <w:lang w:eastAsia="zh-CN"/>
        </w:rPr>
        <w:t>10</w:t>
      </w:r>
      <w:r w:rsidR="00AB206B">
        <w:rPr>
          <w:rFonts w:ascii="Arial" w:hAnsi="Arial" w:cs="Arial"/>
          <w:b/>
          <w:sz w:val="24"/>
          <w:szCs w:val="24"/>
          <w:lang w:eastAsia="zh-CN"/>
        </w:rPr>
        <w:t>6669</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684F66">
        <w:rPr>
          <w:rFonts w:ascii="Arial" w:hAnsi="Arial" w:cs="Arial"/>
          <w:b/>
          <w:sz w:val="24"/>
          <w:szCs w:val="24"/>
          <w:lang w:eastAsia="zh-CN"/>
        </w:rPr>
        <w:t>April</w:t>
      </w:r>
      <w:r>
        <w:rPr>
          <w:rFonts w:ascii="Arial" w:hAnsi="Arial" w:cs="Arial"/>
          <w:b/>
          <w:sz w:val="24"/>
          <w:szCs w:val="24"/>
          <w:lang w:eastAsia="zh-CN"/>
        </w:rPr>
        <w:t xml:space="preserve"> </w:t>
      </w:r>
      <w:r w:rsidR="00684F66">
        <w:rPr>
          <w:rFonts w:ascii="Arial" w:hAnsi="Arial" w:cs="Arial"/>
          <w:b/>
          <w:sz w:val="24"/>
          <w:szCs w:val="24"/>
          <w:lang w:eastAsia="zh-CN"/>
        </w:rPr>
        <w:t>12</w:t>
      </w:r>
      <w:r w:rsidR="00684F66" w:rsidRPr="00684F66">
        <w:rPr>
          <w:rFonts w:ascii="Arial" w:hAnsi="Arial" w:cs="Arial"/>
          <w:b/>
          <w:sz w:val="24"/>
          <w:szCs w:val="24"/>
          <w:vertAlign w:val="superscript"/>
          <w:lang w:eastAsia="zh-CN"/>
        </w:rPr>
        <w:t>th</w:t>
      </w:r>
      <w:r w:rsidR="00684F66">
        <w:rPr>
          <w:rFonts w:ascii="Arial" w:hAnsi="Arial" w:cs="Arial"/>
          <w:b/>
          <w:sz w:val="24"/>
          <w:szCs w:val="24"/>
          <w:lang w:eastAsia="zh-CN"/>
        </w:rPr>
        <w:t xml:space="preserve"> – 20</w:t>
      </w:r>
      <w:r w:rsidR="00684F66" w:rsidRPr="00684F66">
        <w:rPr>
          <w:rFonts w:ascii="Arial" w:hAnsi="Arial" w:cs="Arial"/>
          <w:b/>
          <w:sz w:val="24"/>
          <w:szCs w:val="24"/>
          <w:vertAlign w:val="superscript"/>
          <w:lang w:eastAsia="zh-CN"/>
        </w:rPr>
        <w:t>th</w:t>
      </w:r>
      <w:r>
        <w:rPr>
          <w:rFonts w:ascii="Arial" w:hAnsi="Arial" w:cs="Arial"/>
          <w:b/>
          <w:sz w:val="24"/>
          <w:szCs w:val="24"/>
          <w:lang w:eastAsia="zh-CN"/>
        </w:rPr>
        <w:t>, 202</w:t>
      </w:r>
      <w:r w:rsidR="00464D3B">
        <w:rPr>
          <w:rFonts w:ascii="Arial" w:hAnsi="Arial" w:cs="Arial"/>
          <w:b/>
          <w:sz w:val="24"/>
          <w:szCs w:val="24"/>
          <w:lang w:eastAsia="zh-CN"/>
        </w:rPr>
        <w:t>1</w:t>
      </w:r>
    </w:p>
    <w:p w14:paraId="798321A4" w14:textId="6EF2E097" w:rsidR="00656EE7" w:rsidRDefault="00656EE7">
      <w:pPr>
        <w:spacing w:after="120"/>
        <w:ind w:left="1985" w:hanging="1985"/>
        <w:rPr>
          <w:rFonts w:ascii="Arial" w:eastAsia="MS Mincho" w:hAnsi="Arial" w:cs="Arial"/>
          <w:b/>
          <w:sz w:val="22"/>
        </w:rPr>
      </w:pPr>
    </w:p>
    <w:p w14:paraId="36AE7F06" w14:textId="769C9F0C"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D73BE">
        <w:rPr>
          <w:rFonts w:ascii="Arial" w:eastAsia="MS Mincho" w:hAnsi="Arial" w:cs="Arial"/>
          <w:bCs/>
          <w:color w:val="000000"/>
          <w:sz w:val="22"/>
          <w:lang w:val="pt-BR" w:eastAsia="ja-JP"/>
        </w:rPr>
        <w:t>5.3.2.2.3</w:t>
      </w:r>
    </w:p>
    <w:p w14:paraId="5F4BD920" w14:textId="0F8007BC"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3B08166B"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F317C" w:rsidRPr="00DF317C">
        <w:rPr>
          <w:rFonts w:ascii="Arial" w:hAnsi="Arial" w:cs="Arial"/>
          <w:color w:val="000000"/>
          <w:sz w:val="22"/>
          <w:lang w:eastAsia="zh-CN"/>
        </w:rPr>
        <w:t xml:space="preserve">Remaining test setup </w:t>
      </w:r>
      <w:r w:rsidR="00F43B39">
        <w:rPr>
          <w:rFonts w:ascii="Arial" w:hAnsi="Arial" w:cs="Arial"/>
          <w:color w:val="000000"/>
          <w:sz w:val="22"/>
          <w:lang w:eastAsia="zh-CN"/>
        </w:rPr>
        <w:t>considerations</w:t>
      </w:r>
    </w:p>
    <w:p w14:paraId="4C70E33B" w14:textId="38BBB50F"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2B5C0832" w:rsidR="00656EE7" w:rsidRDefault="00344713" w:rsidP="00065A7B">
      <w:pPr>
        <w:pStyle w:val="Heading1"/>
        <w:rPr>
          <w:lang w:eastAsia="zh-CN"/>
        </w:rPr>
      </w:pPr>
      <w:proofErr w:type="spellStart"/>
      <w:r>
        <w:rPr>
          <w:rFonts w:hint="eastAsia"/>
          <w:lang w:eastAsia="ja-JP"/>
        </w:rPr>
        <w:t>Introduction</w:t>
      </w:r>
      <w:proofErr w:type="spellEnd"/>
    </w:p>
    <w:p w14:paraId="3659D095" w14:textId="5870B803" w:rsidR="00656EE7" w:rsidRDefault="00316348">
      <w:pPr>
        <w:pStyle w:val="BodyText"/>
        <w:rPr>
          <w:lang w:eastAsia="zh-CN"/>
        </w:rPr>
      </w:pPr>
      <w:r>
        <w:rPr>
          <w:lang w:eastAsia="zh-CN"/>
        </w:rPr>
        <w:t xml:space="preserve">In this contribution </w:t>
      </w:r>
      <w:r w:rsidR="00684F66">
        <w:rPr>
          <w:lang w:eastAsia="zh-CN"/>
        </w:rPr>
        <w:t xml:space="preserve">remaining items for MU/TT and </w:t>
      </w:r>
      <w:r w:rsidR="00857919">
        <w:rPr>
          <w:lang w:eastAsia="zh-CN"/>
        </w:rPr>
        <w:t xml:space="preserve">test setup for </w:t>
      </w:r>
      <w:r w:rsidR="00851E7B">
        <w:rPr>
          <w:lang w:eastAsia="zh-CN"/>
        </w:rPr>
        <w:t>IAB-Nodes is</w:t>
      </w:r>
      <w:r w:rsidR="00F46D37">
        <w:rPr>
          <w:lang w:eastAsia="zh-CN"/>
        </w:rPr>
        <w:t xml:space="preserve"> discussed</w:t>
      </w:r>
      <w:r>
        <w:rPr>
          <w:lang w:eastAsia="zh-CN"/>
        </w:rPr>
        <w:t>.</w:t>
      </w:r>
    </w:p>
    <w:p w14:paraId="27A7A54E" w14:textId="5356A542" w:rsidR="007B1131" w:rsidRDefault="00F84D8E" w:rsidP="00F84D8E">
      <w:pPr>
        <w:pStyle w:val="Heading1"/>
        <w:rPr>
          <w:lang w:eastAsia="zh-CN"/>
        </w:rPr>
      </w:pPr>
      <w:proofErr w:type="spellStart"/>
      <w:r>
        <w:rPr>
          <w:lang w:eastAsia="zh-CN"/>
        </w:rPr>
        <w:t>Discussion</w:t>
      </w:r>
      <w:proofErr w:type="spellEnd"/>
    </w:p>
    <w:p w14:paraId="4C400FFF" w14:textId="18EC6F4D" w:rsidR="00857919" w:rsidRDefault="00FB1D91" w:rsidP="00684F66">
      <w:pPr>
        <w:rPr>
          <w:lang w:val="en-US" w:eastAsia="zh-CN"/>
        </w:rPr>
      </w:pPr>
      <w:r w:rsidRPr="00FB1D91">
        <w:rPr>
          <w:noProof/>
          <w:lang w:val="en-US" w:eastAsia="zh-CN"/>
        </w:rPr>
        <mc:AlternateContent>
          <mc:Choice Requires="wps">
            <w:drawing>
              <wp:anchor distT="45720" distB="45720" distL="114300" distR="114300" simplePos="0" relativeHeight="251658240" behindDoc="0" locked="0" layoutInCell="1" allowOverlap="1" wp14:anchorId="1D3723EC" wp14:editId="1B8392BE">
                <wp:simplePos x="0" y="0"/>
                <wp:positionH relativeFrom="column">
                  <wp:posOffset>80010</wp:posOffset>
                </wp:positionH>
                <wp:positionV relativeFrom="paragraph">
                  <wp:posOffset>653415</wp:posOffset>
                </wp:positionV>
                <wp:extent cx="5991225" cy="1404620"/>
                <wp:effectExtent l="0" t="0" r="285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tbl>
                            <w:tblPr>
                              <w:tblStyle w:val="TableGrid"/>
                              <w:tblW w:w="0" w:type="auto"/>
                              <w:tblLook w:val="04A0" w:firstRow="1" w:lastRow="0" w:firstColumn="1" w:lastColumn="0" w:noHBand="0" w:noVBand="1"/>
                            </w:tblPr>
                            <w:tblGrid>
                              <w:gridCol w:w="9138"/>
                            </w:tblGrid>
                            <w:tr w:rsidR="00814E74" w14:paraId="087D9BFF" w14:textId="77777777" w:rsidTr="00AC0AED">
                              <w:tc>
                                <w:tcPr>
                                  <w:tcW w:w="10456" w:type="dxa"/>
                                </w:tcPr>
                                <w:p w14:paraId="6D1AB538" w14:textId="77777777" w:rsidR="00814E74" w:rsidRDefault="00814E74" w:rsidP="00814E74">
                                  <w:pPr>
                                    <w:rPr>
                                      <w:rFonts w:ascii="Arial" w:hAnsi="Arial" w:cs="Arial"/>
                                      <w:b/>
                                    </w:rPr>
                                  </w:pPr>
                                  <w:r>
                                    <w:rPr>
                                      <w:rFonts w:ascii="Arial" w:hAnsi="Arial" w:cs="Arial"/>
                                      <w:b/>
                                    </w:rPr>
                                    <w:t xml:space="preserve">Topics from email thread [306] </w:t>
                                  </w:r>
                                </w:p>
                                <w:p w14:paraId="34A71D3B" w14:textId="77777777" w:rsidR="00814E74" w:rsidRDefault="00814E74" w:rsidP="00814E74">
                                  <w:pPr>
                                    <w:rPr>
                                      <w:b/>
                                      <w:bCs/>
                                      <w:iCs/>
                                      <w:u w:val="single"/>
                                    </w:rPr>
                                  </w:pPr>
                                  <w:r w:rsidRPr="00A24296">
                                    <w:rPr>
                                      <w:b/>
                                      <w:bCs/>
                                      <w:iCs/>
                                      <w:u w:val="single"/>
                                    </w:rPr>
                                    <w:t>Issue 1-1-1:</w:t>
                                  </w:r>
                                  <w:r>
                                    <w:rPr>
                                      <w:b/>
                                      <w:bCs/>
                                      <w:iCs/>
                                      <w:u w:val="single"/>
                                    </w:rPr>
                                    <w:t xml:space="preserve"> Synchronization</w:t>
                                  </w:r>
                                </w:p>
                                <w:p w14:paraId="0A192BE4" w14:textId="77777777" w:rsidR="00814E74" w:rsidRPr="000B7DE8" w:rsidRDefault="00814E74" w:rsidP="00814E74">
                                  <w:pPr>
                                    <w:rPr>
                                      <w:bCs/>
                                      <w:iCs/>
                                      <w:highlight w:val="green"/>
                                    </w:rPr>
                                  </w:pPr>
                                  <w:r w:rsidRPr="000B7DE8">
                                    <w:rPr>
                                      <w:bCs/>
                                      <w:iCs/>
                                      <w:highlight w:val="green"/>
                                    </w:rPr>
                                    <w:t xml:space="preserve">Agreement: </w:t>
                                  </w:r>
                                </w:p>
                                <w:p w14:paraId="02B579F0" w14:textId="77777777" w:rsidR="00814E74" w:rsidRDefault="00814E74" w:rsidP="00814E74">
                                  <w:pPr>
                                    <w:rPr>
                                      <w:bCs/>
                                      <w:iCs/>
                                    </w:rPr>
                                  </w:pPr>
                                  <w:r w:rsidRPr="000B7DE8">
                                    <w:rPr>
                                      <w:bCs/>
                                      <w:iCs/>
                                      <w:highlight w:val="green"/>
                                    </w:rPr>
                                    <w:t xml:space="preserve">Using same BS approach (no detailed synchronization configuration in conformance specifications; meanwhile add a note in </w:t>
                                  </w:r>
                                  <w:r>
                                    <w:rPr>
                                      <w:bCs/>
                                      <w:iCs/>
                                      <w:highlight w:val="green"/>
                                    </w:rPr>
                                    <w:t>conformance specs</w:t>
                                  </w:r>
                                  <w:r w:rsidRPr="000B7DE8">
                                    <w:rPr>
                                      <w:bCs/>
                                      <w:iCs/>
                                      <w:highlight w:val="green"/>
                                    </w:rPr>
                                    <w:t xml:space="preserve"> to clarify (IAB-MT sync with IAB-DU with DL signal configuration not precluded).</w:t>
                                  </w:r>
                                </w:p>
                                <w:p w14:paraId="071390D5" w14:textId="77777777" w:rsidR="00814E74" w:rsidRDefault="00814E74" w:rsidP="00814E74">
                                  <w:pPr>
                                    <w:rPr>
                                      <w:b/>
                                      <w:bCs/>
                                      <w:iCs/>
                                      <w:u w:val="single"/>
                                    </w:rPr>
                                  </w:pPr>
                                  <w:r w:rsidRPr="00AF298B">
                                    <w:rPr>
                                      <w:b/>
                                      <w:bCs/>
                                      <w:iCs/>
                                      <w:u w:val="single"/>
                                    </w:rPr>
                                    <w:t>Issue 1-1-</w:t>
                                  </w:r>
                                  <w:r>
                                    <w:rPr>
                                      <w:b/>
                                      <w:bCs/>
                                      <w:iCs/>
                                      <w:u w:val="single"/>
                                    </w:rPr>
                                    <w:t>3</w:t>
                                  </w:r>
                                  <w:r w:rsidRPr="00AF298B">
                                    <w:rPr>
                                      <w:b/>
                                      <w:bCs/>
                                      <w:iCs/>
                                      <w:u w:val="single"/>
                                    </w:rPr>
                                    <w:t xml:space="preserve">: </w:t>
                                  </w:r>
                                  <w:r>
                                    <w:rPr>
                                      <w:b/>
                                      <w:bCs/>
                                      <w:iCs/>
                                      <w:u w:val="single"/>
                                    </w:rPr>
                                    <w:t>Description of connection/measurement setup in specification annex</w:t>
                                  </w:r>
                                </w:p>
                                <w:p w14:paraId="14A7E80B" w14:textId="77777777" w:rsidR="00814E74" w:rsidRDefault="00814E74" w:rsidP="00814E74">
                                  <w:r w:rsidRPr="00F90879">
                                    <w:rPr>
                                      <w:rFonts w:hint="eastAsia"/>
                                      <w:bCs/>
                                      <w:iCs/>
                                      <w:highlight w:val="green"/>
                                    </w:rPr>
                                    <w:t>A</w:t>
                                  </w:r>
                                  <w:r w:rsidRPr="00F90879">
                                    <w:rPr>
                                      <w:bCs/>
                                      <w:iCs/>
                                      <w:highlight w:val="green"/>
                                    </w:rPr>
                                    <w:t>greements:</w:t>
                                  </w:r>
                                  <w:r>
                                    <w:rPr>
                                      <w:b/>
                                      <w:bCs/>
                                      <w:iCs/>
                                      <w:highlight w:val="green"/>
                                      <w:u w:val="single"/>
                                    </w:rPr>
                                    <w:t xml:space="preserve"> </w:t>
                                  </w:r>
                                  <w:r w:rsidRPr="00F90879">
                                    <w:rPr>
                                      <w:bCs/>
                                      <w:highlight w:val="green"/>
                                    </w:rPr>
                                    <w:t>Option 1: Flexibility in connection / measurement setup is allowed by keeping the specified setup informative</w:t>
                                  </w:r>
                                </w:p>
                              </w:tc>
                            </w:tr>
                          </w:tbl>
                          <w:p w14:paraId="55D63E18" w14:textId="77777777" w:rsidR="00814E74" w:rsidRDefault="00814E74" w:rsidP="00814E74">
                            <w:r w:rsidRPr="00410172">
                              <w:rPr>
                                <w:rFonts w:eastAsia="DengXian"/>
                                <w:b/>
                                <w:highlight w:val="green"/>
                              </w:rPr>
                              <w:t>Agreements</w:t>
                            </w:r>
                            <w:r w:rsidRPr="00747AEF">
                              <w:rPr>
                                <w:rFonts w:eastAsia="DengXian"/>
                                <w:highlight w:val="green"/>
                              </w:rPr>
                              <w:t xml:space="preserve">: </w:t>
                            </w:r>
                            <w:r w:rsidRPr="00747AEF">
                              <w:rPr>
                                <w:highlight w:val="green"/>
                              </w:rPr>
                              <w:t xml:space="preserve">Above agreement </w:t>
                            </w:r>
                            <w:r>
                              <w:rPr>
                                <w:highlight w:val="green"/>
                              </w:rPr>
                              <w:t xml:space="preserve">from [306] </w:t>
                            </w:r>
                            <w:r w:rsidRPr="00747AEF">
                              <w:rPr>
                                <w:highlight w:val="green"/>
                              </w:rPr>
                              <w:t>applied for frequency error test as well.</w:t>
                            </w:r>
                            <w:r>
                              <w:t xml:space="preserve"> </w:t>
                            </w:r>
                          </w:p>
                          <w:p w14:paraId="692AB202" w14:textId="77777777" w:rsidR="00814E74" w:rsidRDefault="00814E74" w:rsidP="00FB1D91">
                            <w:pPr>
                              <w:rPr>
                                <w:b/>
                                <w:bCs/>
                                <w:iCs/>
                                <w:u w:val="single"/>
                              </w:rPr>
                            </w:pPr>
                          </w:p>
                          <w:p w14:paraId="33A1C58E" w14:textId="136D74E8" w:rsidR="00FB1D91" w:rsidRDefault="00FB1D91" w:rsidP="00FB1D91">
                            <w:pPr>
                              <w:rPr>
                                <w:b/>
                                <w:bCs/>
                                <w:iCs/>
                                <w:u w:val="single"/>
                              </w:rPr>
                            </w:pPr>
                            <w:r w:rsidRPr="00A24296">
                              <w:rPr>
                                <w:b/>
                                <w:bCs/>
                                <w:iCs/>
                                <w:u w:val="single"/>
                              </w:rPr>
                              <w:t>Issue 1-</w:t>
                            </w:r>
                            <w:r>
                              <w:rPr>
                                <w:b/>
                                <w:bCs/>
                                <w:iCs/>
                                <w:u w:val="single"/>
                              </w:rPr>
                              <w:t>1</w:t>
                            </w:r>
                            <w:r w:rsidRPr="00A24296">
                              <w:rPr>
                                <w:b/>
                                <w:bCs/>
                                <w:iCs/>
                                <w:u w:val="single"/>
                              </w:rPr>
                              <w:t>-</w:t>
                            </w:r>
                            <w:r>
                              <w:rPr>
                                <w:b/>
                                <w:bCs/>
                                <w:iCs/>
                                <w:u w:val="single"/>
                              </w:rPr>
                              <w:t>2</w:t>
                            </w:r>
                            <w:r w:rsidRPr="00A24296">
                              <w:rPr>
                                <w:b/>
                                <w:bCs/>
                                <w:iCs/>
                                <w:u w:val="single"/>
                              </w:rPr>
                              <w:t>:</w:t>
                            </w:r>
                            <w:r>
                              <w:rPr>
                                <w:b/>
                                <w:bCs/>
                                <w:iCs/>
                                <w:u w:val="single"/>
                              </w:rPr>
                              <w:t xml:space="preserve"> Two-way communication in IAB-MT tests</w:t>
                            </w:r>
                          </w:p>
                          <w:p w14:paraId="60249F18" w14:textId="77777777" w:rsidR="00FB1D91" w:rsidRDefault="00FB1D91" w:rsidP="00FB1D91">
                            <w:pPr>
                              <w:rPr>
                                <w:bCs/>
                              </w:rPr>
                            </w:pPr>
                            <w:r w:rsidRPr="00F90879">
                              <w:rPr>
                                <w:bCs/>
                                <w:highlight w:val="green"/>
                              </w:rPr>
                              <w:t>Two-way communication is not specified</w:t>
                            </w:r>
                            <w:r>
                              <w:rPr>
                                <w:bCs/>
                                <w:highlight w:val="green"/>
                              </w:rPr>
                              <w:t xml:space="preserve"> for RF conformance tests,</w:t>
                            </w:r>
                            <w:r w:rsidRPr="00F90879">
                              <w:rPr>
                                <w:bCs/>
                                <w:highlight w:val="green"/>
                              </w:rPr>
                              <w:t xml:space="preserve"> specification shall not preclude DL signals to be used e.g. for timing and frequency reference purposes during the test.</w:t>
                            </w:r>
                          </w:p>
                          <w:p w14:paraId="77F832A2" w14:textId="77777777" w:rsidR="00FB1D91" w:rsidRDefault="00FB1D91" w:rsidP="00FB1D91">
                            <w:r w:rsidRPr="00F90879">
                              <w:rPr>
                                <w:bCs/>
                                <w:highlight w:val="yellow"/>
                              </w:rPr>
                              <w:t>Companies further work on the clarification notes to conformance specifications for topic 1-1.</w:t>
                            </w:r>
                          </w:p>
                          <w:p w14:paraId="0C2DFFC9" w14:textId="5AB31E21" w:rsidR="00FB1D91" w:rsidRDefault="00FB1D9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3723EC" id="_x0000_t202" coordsize="21600,21600" o:spt="202" path="m,l,21600r21600,l21600,xe">
                <v:stroke joinstyle="miter"/>
                <v:path gradientshapeok="t" o:connecttype="rect"/>
              </v:shapetype>
              <v:shape id="Text Box 2" o:spid="_x0000_s1026" type="#_x0000_t202" style="position:absolute;margin-left:6.3pt;margin-top:51.45pt;width:471.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">
                <v:textbox style="mso-fit-shape-to-text:t">
                  <w:txbxContent>
                    <w:tbl>
                      <w:tblPr>
                        <w:tblStyle w:val="TableGrid"/>
                        <w:tblW w:w="0" w:type="auto"/>
                        <w:tblLook w:val="04A0" w:firstRow="1" w:lastRow="0" w:firstColumn="1" w:lastColumn="0" w:noHBand="0" w:noVBand="1"/>
                      </w:tblPr>
                      <w:tblGrid>
                        <w:gridCol w:w="9138"/>
                      </w:tblGrid>
                      <w:tr w:rsidR="00814E74" w14:paraId="087D9BFF" w14:textId="77777777" w:rsidTr="00AC0AED">
                        <w:tc>
                          <w:tcPr>
                            <w:tcW w:w="10456" w:type="dxa"/>
                          </w:tcPr>
                          <w:p w14:paraId="6D1AB538" w14:textId="77777777" w:rsidR="00814E74" w:rsidRDefault="00814E74" w:rsidP="00814E74">
                            <w:pPr>
                              <w:rPr>
                                <w:rFonts w:ascii="Arial" w:hAnsi="Arial" w:cs="Arial"/>
                                <w:b/>
                              </w:rPr>
                            </w:pPr>
                            <w:r>
                              <w:rPr>
                                <w:rFonts w:ascii="Arial" w:hAnsi="Arial" w:cs="Arial"/>
                                <w:b/>
                              </w:rPr>
                              <w:t xml:space="preserve">Topics from email thread [306] </w:t>
                            </w:r>
                          </w:p>
                          <w:p w14:paraId="34A71D3B" w14:textId="77777777" w:rsidR="00814E74" w:rsidRDefault="00814E74" w:rsidP="00814E74">
                            <w:pPr>
                              <w:rPr>
                                <w:b/>
                                <w:bCs/>
                                <w:iCs/>
                                <w:u w:val="single"/>
                              </w:rPr>
                            </w:pPr>
                            <w:r w:rsidRPr="00A24296">
                              <w:rPr>
                                <w:b/>
                                <w:bCs/>
                                <w:iCs/>
                                <w:u w:val="single"/>
                              </w:rPr>
                              <w:t>Issue 1-1-1:</w:t>
                            </w:r>
                            <w:r>
                              <w:rPr>
                                <w:b/>
                                <w:bCs/>
                                <w:iCs/>
                                <w:u w:val="single"/>
                              </w:rPr>
                              <w:t xml:space="preserve"> Synchronization</w:t>
                            </w:r>
                          </w:p>
                          <w:p w14:paraId="0A192BE4" w14:textId="77777777" w:rsidR="00814E74" w:rsidRPr="000B7DE8" w:rsidRDefault="00814E74" w:rsidP="00814E74">
                            <w:pPr>
                              <w:rPr>
                                <w:bCs/>
                                <w:iCs/>
                                <w:highlight w:val="green"/>
                              </w:rPr>
                            </w:pPr>
                            <w:r w:rsidRPr="000B7DE8">
                              <w:rPr>
                                <w:bCs/>
                                <w:iCs/>
                                <w:highlight w:val="green"/>
                              </w:rPr>
                              <w:t xml:space="preserve">Agreement: </w:t>
                            </w:r>
                          </w:p>
                          <w:p w14:paraId="02B579F0" w14:textId="77777777" w:rsidR="00814E74" w:rsidRDefault="00814E74" w:rsidP="00814E74">
                            <w:pPr>
                              <w:rPr>
                                <w:bCs/>
                                <w:iCs/>
                              </w:rPr>
                            </w:pPr>
                            <w:r w:rsidRPr="000B7DE8">
                              <w:rPr>
                                <w:bCs/>
                                <w:iCs/>
                                <w:highlight w:val="green"/>
                              </w:rPr>
                              <w:t xml:space="preserve">Using same BS approach (no detailed synchronization configuration in conformance specifications; meanwhile add a note in </w:t>
                            </w:r>
                            <w:r>
                              <w:rPr>
                                <w:bCs/>
                                <w:iCs/>
                                <w:highlight w:val="green"/>
                              </w:rPr>
                              <w:t>conformance specs</w:t>
                            </w:r>
                            <w:r w:rsidRPr="000B7DE8">
                              <w:rPr>
                                <w:bCs/>
                                <w:iCs/>
                                <w:highlight w:val="green"/>
                              </w:rPr>
                              <w:t xml:space="preserve"> to clarify (IAB-MT sync with IAB-DU with DL signal configuration not precluded).</w:t>
                            </w:r>
                          </w:p>
                          <w:p w14:paraId="071390D5" w14:textId="77777777" w:rsidR="00814E74" w:rsidRDefault="00814E74" w:rsidP="00814E74">
                            <w:pPr>
                              <w:rPr>
                                <w:b/>
                                <w:bCs/>
                                <w:iCs/>
                                <w:u w:val="single"/>
                              </w:rPr>
                            </w:pPr>
                            <w:r w:rsidRPr="00AF298B">
                              <w:rPr>
                                <w:b/>
                                <w:bCs/>
                                <w:iCs/>
                                <w:u w:val="single"/>
                              </w:rPr>
                              <w:t>Issue 1-1-</w:t>
                            </w:r>
                            <w:r>
                              <w:rPr>
                                <w:b/>
                                <w:bCs/>
                                <w:iCs/>
                                <w:u w:val="single"/>
                              </w:rPr>
                              <w:t>3</w:t>
                            </w:r>
                            <w:r w:rsidRPr="00AF298B">
                              <w:rPr>
                                <w:b/>
                                <w:bCs/>
                                <w:iCs/>
                                <w:u w:val="single"/>
                              </w:rPr>
                              <w:t xml:space="preserve">: </w:t>
                            </w:r>
                            <w:r>
                              <w:rPr>
                                <w:b/>
                                <w:bCs/>
                                <w:iCs/>
                                <w:u w:val="single"/>
                              </w:rPr>
                              <w:t>Description of connection/measurement setup in specification annex</w:t>
                            </w:r>
                          </w:p>
                          <w:p w14:paraId="14A7E80B" w14:textId="77777777" w:rsidR="00814E74" w:rsidRDefault="00814E74" w:rsidP="00814E74">
                            <w:r w:rsidRPr="00F90879">
                              <w:rPr>
                                <w:rFonts w:hint="eastAsia"/>
                                <w:bCs/>
                                <w:iCs/>
                                <w:highlight w:val="green"/>
                              </w:rPr>
                              <w:t>A</w:t>
                            </w:r>
                            <w:r w:rsidRPr="00F90879">
                              <w:rPr>
                                <w:bCs/>
                                <w:iCs/>
                                <w:highlight w:val="green"/>
                              </w:rPr>
                              <w:t>greements:</w:t>
                            </w:r>
                            <w:r>
                              <w:rPr>
                                <w:b/>
                                <w:bCs/>
                                <w:iCs/>
                                <w:highlight w:val="green"/>
                                <w:u w:val="single"/>
                              </w:rPr>
                              <w:t xml:space="preserve"> </w:t>
                            </w:r>
                            <w:r w:rsidRPr="00F90879">
                              <w:rPr>
                                <w:bCs/>
                                <w:highlight w:val="green"/>
                              </w:rPr>
                              <w:t>Option 1: Flexibility in connection / measurement setup is allowed by keeping the specified setup informative</w:t>
                            </w:r>
                          </w:p>
                        </w:tc>
                      </w:tr>
                    </w:tbl>
                    <w:p w14:paraId="55D63E18" w14:textId="77777777" w:rsidR="00814E74" w:rsidRDefault="00814E74" w:rsidP="00814E74">
                      <w:r w:rsidRPr="00410172">
                        <w:rPr>
                          <w:rFonts w:eastAsia="DengXian"/>
                          <w:b/>
                          <w:highlight w:val="green"/>
                        </w:rPr>
                        <w:t>Agreements</w:t>
                      </w:r>
                      <w:r w:rsidRPr="00747AEF">
                        <w:rPr>
                          <w:rFonts w:eastAsia="DengXian"/>
                          <w:highlight w:val="green"/>
                        </w:rPr>
                        <w:t xml:space="preserve">: </w:t>
                      </w:r>
                      <w:r w:rsidRPr="00747AEF">
                        <w:rPr>
                          <w:highlight w:val="green"/>
                        </w:rPr>
                        <w:t xml:space="preserve">Above agreement </w:t>
                      </w:r>
                      <w:r>
                        <w:rPr>
                          <w:highlight w:val="green"/>
                        </w:rPr>
                        <w:t xml:space="preserve">from [306] </w:t>
                      </w:r>
                      <w:r w:rsidRPr="00747AEF">
                        <w:rPr>
                          <w:highlight w:val="green"/>
                        </w:rPr>
                        <w:t>applied for frequency error test as well.</w:t>
                      </w:r>
                      <w:r>
                        <w:t xml:space="preserve"> </w:t>
                      </w:r>
                    </w:p>
                    <w:p w14:paraId="692AB202" w14:textId="77777777" w:rsidR="00814E74" w:rsidRDefault="00814E74" w:rsidP="00FB1D91">
                      <w:pPr>
                        <w:rPr>
                          <w:b/>
                          <w:bCs/>
                          <w:iCs/>
                          <w:u w:val="single"/>
                        </w:rPr>
                      </w:pPr>
                    </w:p>
                    <w:p w14:paraId="33A1C58E" w14:textId="136D74E8" w:rsidR="00FB1D91" w:rsidRDefault="00FB1D91" w:rsidP="00FB1D91">
                      <w:pPr>
                        <w:rPr>
                          <w:b/>
                          <w:bCs/>
                          <w:iCs/>
                          <w:u w:val="single"/>
                        </w:rPr>
                      </w:pPr>
                      <w:r w:rsidRPr="00A24296">
                        <w:rPr>
                          <w:b/>
                          <w:bCs/>
                          <w:iCs/>
                          <w:u w:val="single"/>
                        </w:rPr>
                        <w:t>Issue 1-</w:t>
                      </w:r>
                      <w:r>
                        <w:rPr>
                          <w:b/>
                          <w:bCs/>
                          <w:iCs/>
                          <w:u w:val="single"/>
                        </w:rPr>
                        <w:t>1</w:t>
                      </w:r>
                      <w:r w:rsidRPr="00A24296">
                        <w:rPr>
                          <w:b/>
                          <w:bCs/>
                          <w:iCs/>
                          <w:u w:val="single"/>
                        </w:rPr>
                        <w:t>-</w:t>
                      </w:r>
                      <w:r>
                        <w:rPr>
                          <w:b/>
                          <w:bCs/>
                          <w:iCs/>
                          <w:u w:val="single"/>
                        </w:rPr>
                        <w:t>2</w:t>
                      </w:r>
                      <w:r w:rsidRPr="00A24296">
                        <w:rPr>
                          <w:b/>
                          <w:bCs/>
                          <w:iCs/>
                          <w:u w:val="single"/>
                        </w:rPr>
                        <w:t>:</w:t>
                      </w:r>
                      <w:r>
                        <w:rPr>
                          <w:b/>
                          <w:bCs/>
                          <w:iCs/>
                          <w:u w:val="single"/>
                        </w:rPr>
                        <w:t xml:space="preserve"> Two-way communication in IAB-MT tests</w:t>
                      </w:r>
                    </w:p>
                    <w:p w14:paraId="60249F18" w14:textId="77777777" w:rsidR="00FB1D91" w:rsidRDefault="00FB1D91" w:rsidP="00FB1D91">
                      <w:pPr>
                        <w:rPr>
                          <w:bCs/>
                        </w:rPr>
                      </w:pPr>
                      <w:r w:rsidRPr="00F90879">
                        <w:rPr>
                          <w:bCs/>
                          <w:highlight w:val="green"/>
                        </w:rPr>
                        <w:t>Two-way communication is not specified</w:t>
                      </w:r>
                      <w:r>
                        <w:rPr>
                          <w:bCs/>
                          <w:highlight w:val="green"/>
                        </w:rPr>
                        <w:t xml:space="preserve"> for RF conformance tests,</w:t>
                      </w:r>
                      <w:r w:rsidRPr="00F90879">
                        <w:rPr>
                          <w:bCs/>
                          <w:highlight w:val="green"/>
                        </w:rPr>
                        <w:t xml:space="preserve"> specification shall not preclude DL signals to be used e.g. for timing and frequency reference purposes during the test.</w:t>
                      </w:r>
                    </w:p>
                    <w:p w14:paraId="77F832A2" w14:textId="77777777" w:rsidR="00FB1D91" w:rsidRDefault="00FB1D91" w:rsidP="00FB1D91">
                      <w:r w:rsidRPr="00F90879">
                        <w:rPr>
                          <w:bCs/>
                          <w:highlight w:val="yellow"/>
                        </w:rPr>
                        <w:t>Companies further work on the clarification notes to conformance specifications for topic 1-1.</w:t>
                      </w:r>
                    </w:p>
                    <w:p w14:paraId="0C2DFFC9" w14:textId="5AB31E21" w:rsidR="00FB1D91" w:rsidRDefault="00FB1D91"/>
                  </w:txbxContent>
                </v:textbox>
                <w10:wrap type="square"/>
              </v:shape>
            </w:pict>
          </mc:Fallback>
        </mc:AlternateContent>
      </w:r>
      <w:r w:rsidR="00F46D37" w:rsidRPr="00FB1D91">
        <w:rPr>
          <w:lang w:val="en-US" w:eastAsia="zh-CN"/>
        </w:rPr>
        <w:t>During RAN4#9</w:t>
      </w:r>
      <w:r w:rsidR="00684F66" w:rsidRPr="00FB1D91">
        <w:rPr>
          <w:lang w:val="en-US" w:eastAsia="zh-CN"/>
        </w:rPr>
        <w:t>8</w:t>
      </w:r>
      <w:r w:rsidR="00F46D37" w:rsidRPr="00FB1D91">
        <w:rPr>
          <w:lang w:val="en-US" w:eastAsia="zh-CN"/>
        </w:rPr>
        <w:t>e</w:t>
      </w:r>
      <w:r w:rsidR="00C04162" w:rsidRPr="00FB1D91">
        <w:rPr>
          <w:lang w:val="en-US" w:eastAsia="zh-CN"/>
        </w:rPr>
        <w:t xml:space="preserve"> </w:t>
      </w:r>
      <w:proofErr w:type="gramStart"/>
      <w:r w:rsidR="00C04162" w:rsidRPr="00FB1D91">
        <w:rPr>
          <w:lang w:val="en-US" w:eastAsia="zh-CN"/>
        </w:rPr>
        <w:t>t</w:t>
      </w:r>
      <w:r w:rsidRPr="00FB1D91">
        <w:rPr>
          <w:lang w:val="en-US" w:eastAsia="zh-CN"/>
        </w:rPr>
        <w:t>wo way</w:t>
      </w:r>
      <w:proofErr w:type="gramEnd"/>
      <w:r w:rsidRPr="00FB1D91">
        <w:rPr>
          <w:lang w:val="en-US" w:eastAsia="zh-CN"/>
        </w:rPr>
        <w:t xml:space="preserve"> forwards addressing remaining open test setup related issues were agreed</w:t>
      </w:r>
      <w:r w:rsidR="00C04162" w:rsidRPr="00FB1D91">
        <w:rPr>
          <w:lang w:val="en-US" w:eastAsia="zh-CN"/>
        </w:rPr>
        <w:t xml:space="preserve"> [1]</w:t>
      </w:r>
      <w:r w:rsidRPr="00FB1D91">
        <w:rPr>
          <w:lang w:val="en-US" w:eastAsia="zh-CN"/>
        </w:rPr>
        <w:t xml:space="preserve"> [2]</w:t>
      </w:r>
      <w:r w:rsidR="00C04162" w:rsidRPr="00FB1D91">
        <w:rPr>
          <w:lang w:val="en-US" w:eastAsia="zh-CN"/>
        </w:rPr>
        <w:t>.</w:t>
      </w:r>
      <w:r>
        <w:rPr>
          <w:lang w:val="en-US" w:eastAsia="zh-CN"/>
        </w:rPr>
        <w:t xml:space="preserve"> Most importantly, the way forwards address synchronization and two-way communication in the testing situation. These agreements have been reproduced below</w:t>
      </w:r>
    </w:p>
    <w:p w14:paraId="136E6418" w14:textId="2C3F715B" w:rsidR="00FB1D91" w:rsidRPr="00FB1D91" w:rsidRDefault="00FB1D91" w:rsidP="00684F66">
      <w:pPr>
        <w:rPr>
          <w:lang w:val="en-US" w:eastAsia="zh-CN"/>
        </w:rPr>
      </w:pPr>
    </w:p>
    <w:p w14:paraId="75693CB1" w14:textId="77777777" w:rsidR="00FB1D91" w:rsidRDefault="00FB1D91" w:rsidP="00CD035D">
      <w:pPr>
        <w:overflowPunct w:val="0"/>
        <w:autoSpaceDE w:val="0"/>
        <w:autoSpaceDN w:val="0"/>
        <w:adjustRightInd w:val="0"/>
        <w:spacing w:beforeLines="50" w:before="136" w:after="0"/>
        <w:textAlignment w:val="baseline"/>
        <w:rPr>
          <w:lang w:val="en-US"/>
        </w:rPr>
      </w:pPr>
    </w:p>
    <w:p w14:paraId="78D38D0F" w14:textId="77777777" w:rsidR="00FB1D91" w:rsidRDefault="00FB1D91" w:rsidP="00CD035D">
      <w:pPr>
        <w:overflowPunct w:val="0"/>
        <w:autoSpaceDE w:val="0"/>
        <w:autoSpaceDN w:val="0"/>
        <w:adjustRightInd w:val="0"/>
        <w:spacing w:beforeLines="50" w:before="136" w:after="0"/>
        <w:textAlignment w:val="baseline"/>
        <w:rPr>
          <w:lang w:val="en-US"/>
        </w:rPr>
      </w:pPr>
    </w:p>
    <w:p w14:paraId="721A1D8D" w14:textId="77777777" w:rsidR="00FB1D91" w:rsidRDefault="00FB1D91" w:rsidP="00CD035D">
      <w:pPr>
        <w:overflowPunct w:val="0"/>
        <w:autoSpaceDE w:val="0"/>
        <w:autoSpaceDN w:val="0"/>
        <w:adjustRightInd w:val="0"/>
        <w:spacing w:beforeLines="50" w:before="136" w:after="0"/>
        <w:textAlignment w:val="baseline"/>
        <w:rPr>
          <w:lang w:val="en-US"/>
        </w:rPr>
      </w:pPr>
    </w:p>
    <w:p w14:paraId="03BB3E51" w14:textId="77777777" w:rsidR="00FB1D91" w:rsidRDefault="00FB1D91" w:rsidP="00CD035D">
      <w:pPr>
        <w:overflowPunct w:val="0"/>
        <w:autoSpaceDE w:val="0"/>
        <w:autoSpaceDN w:val="0"/>
        <w:adjustRightInd w:val="0"/>
        <w:spacing w:beforeLines="50" w:before="136" w:after="0"/>
        <w:textAlignment w:val="baseline"/>
        <w:rPr>
          <w:lang w:val="en-US"/>
        </w:rPr>
      </w:pPr>
    </w:p>
    <w:p w14:paraId="62817F14" w14:textId="6EEC8BC7" w:rsidR="00CD035D" w:rsidRPr="00FB1D91" w:rsidRDefault="00CD035D" w:rsidP="00CD035D">
      <w:pPr>
        <w:overflowPunct w:val="0"/>
        <w:autoSpaceDE w:val="0"/>
        <w:autoSpaceDN w:val="0"/>
        <w:adjustRightInd w:val="0"/>
        <w:spacing w:beforeLines="50" w:before="136" w:after="0"/>
        <w:textAlignment w:val="baseline"/>
        <w:rPr>
          <w:lang w:val="en-US"/>
        </w:rPr>
      </w:pPr>
      <w:r w:rsidRPr="00FB1D91">
        <w:rPr>
          <w:lang w:val="en-US"/>
        </w:rPr>
        <w:t xml:space="preserve">When the requirements for the test setup are considered, it is </w:t>
      </w:r>
      <w:r w:rsidR="004F79DB" w:rsidRPr="00FB1D91">
        <w:rPr>
          <w:lang w:val="en-US"/>
        </w:rPr>
        <w:t xml:space="preserve">overall </w:t>
      </w:r>
      <w:r w:rsidRPr="00FB1D91">
        <w:rPr>
          <w:lang w:val="en-US"/>
        </w:rPr>
        <w:t xml:space="preserve">beneficial to capture only the information that is necessary for the testing purposes. Having too many details will lower the specification clarity and limit the flexibility in test situations. On the other hand, the specified content needs to be sufficient to perform the test. </w:t>
      </w:r>
    </w:p>
    <w:p w14:paraId="1CF51E59" w14:textId="10E1F6FC" w:rsidR="00CD035D" w:rsidRPr="00FB1D91" w:rsidRDefault="00CD035D" w:rsidP="00CD035D">
      <w:pPr>
        <w:overflowPunct w:val="0"/>
        <w:autoSpaceDE w:val="0"/>
        <w:autoSpaceDN w:val="0"/>
        <w:adjustRightInd w:val="0"/>
        <w:spacing w:beforeLines="50" w:before="136" w:after="0"/>
        <w:textAlignment w:val="baseline"/>
        <w:rPr>
          <w:lang w:val="en-US"/>
        </w:rPr>
      </w:pPr>
      <w:r w:rsidRPr="00FB1D91">
        <w:rPr>
          <w:lang w:val="en-US"/>
        </w:rPr>
        <w:t xml:space="preserve">The purpose of the test is one of the main aspects to be considered when it is evaluated what is the necessary information. </w:t>
      </w:r>
      <w:r w:rsidR="004F79DB" w:rsidRPr="00FB1D91">
        <w:rPr>
          <w:lang w:val="en-US"/>
        </w:rPr>
        <w:t>For example, t</w:t>
      </w:r>
      <w:r w:rsidRPr="00FB1D91">
        <w:rPr>
          <w:lang w:val="en-US"/>
        </w:rPr>
        <w:t xml:space="preserve">he purpose of the RF tests is to verify that RF performance is at proper level. The different tests stress </w:t>
      </w:r>
      <w:r w:rsidR="004F79DB" w:rsidRPr="00FB1D91">
        <w:rPr>
          <w:lang w:val="en-US"/>
        </w:rPr>
        <w:t xml:space="preserve">e.g. transmitter linearity and output signal quality, </w:t>
      </w:r>
      <w:proofErr w:type="gramStart"/>
      <w:r w:rsidR="004F79DB" w:rsidRPr="00FB1D91">
        <w:rPr>
          <w:lang w:val="en-US"/>
        </w:rPr>
        <w:t>and</w:t>
      </w:r>
      <w:r w:rsidRPr="00FB1D91">
        <w:rPr>
          <w:lang w:val="en-US"/>
        </w:rPr>
        <w:t xml:space="preserve"> </w:t>
      </w:r>
      <w:r w:rsidR="004F79DB" w:rsidRPr="00FB1D91">
        <w:rPr>
          <w:lang w:val="en-US"/>
        </w:rPr>
        <w:t>also</w:t>
      </w:r>
      <w:proofErr w:type="gramEnd"/>
      <w:r w:rsidR="004F79DB" w:rsidRPr="00FB1D91">
        <w:rPr>
          <w:lang w:val="en-US"/>
        </w:rPr>
        <w:t xml:space="preserve"> </w:t>
      </w:r>
      <w:r w:rsidRPr="00FB1D91">
        <w:rPr>
          <w:lang w:val="en-US"/>
        </w:rPr>
        <w:t>receiver noise level and</w:t>
      </w:r>
      <w:r w:rsidR="004F79DB" w:rsidRPr="00FB1D91">
        <w:rPr>
          <w:lang w:val="en-US"/>
        </w:rPr>
        <w:t xml:space="preserve"> linearity</w:t>
      </w:r>
      <w:r w:rsidRPr="00FB1D91">
        <w:rPr>
          <w:lang w:val="en-US"/>
        </w:rPr>
        <w:t xml:space="preserve">. </w:t>
      </w:r>
      <w:r w:rsidR="004F79DB" w:rsidRPr="00FB1D91">
        <w:rPr>
          <w:lang w:val="en-US"/>
        </w:rPr>
        <w:t xml:space="preserve">The measurement process and the details of it are just a tool to verify the core RF </w:t>
      </w:r>
      <w:proofErr w:type="gramStart"/>
      <w:r w:rsidR="004F79DB" w:rsidRPr="00FB1D91">
        <w:rPr>
          <w:lang w:val="en-US"/>
        </w:rPr>
        <w:t>metrics, and</w:t>
      </w:r>
      <w:proofErr w:type="gramEnd"/>
      <w:r w:rsidR="004F79DB" w:rsidRPr="00FB1D91">
        <w:rPr>
          <w:lang w:val="en-US"/>
        </w:rPr>
        <w:t xml:space="preserve"> are not intended to be used to test other functionality.</w:t>
      </w:r>
    </w:p>
    <w:p w14:paraId="2902E31D" w14:textId="218EA0D9" w:rsidR="005302DF" w:rsidRDefault="004F79DB" w:rsidP="00EC34B7">
      <w:pPr>
        <w:overflowPunct w:val="0"/>
        <w:autoSpaceDE w:val="0"/>
        <w:autoSpaceDN w:val="0"/>
        <w:adjustRightInd w:val="0"/>
        <w:spacing w:beforeLines="50" w:before="136" w:after="0"/>
        <w:textAlignment w:val="baseline"/>
        <w:rPr>
          <w:b/>
          <w:bCs/>
          <w:lang w:val="en-US"/>
        </w:rPr>
      </w:pPr>
      <w:r w:rsidRPr="00FB1D91">
        <w:rPr>
          <w:b/>
          <w:bCs/>
          <w:lang w:val="en-US"/>
        </w:rPr>
        <w:t xml:space="preserve">Proposal </w:t>
      </w:r>
      <w:r w:rsidR="00FB1D91">
        <w:rPr>
          <w:b/>
          <w:bCs/>
          <w:lang w:val="en-US"/>
        </w:rPr>
        <w:t>1</w:t>
      </w:r>
      <w:r w:rsidRPr="00FB1D91">
        <w:rPr>
          <w:b/>
          <w:bCs/>
          <w:lang w:val="en-US"/>
        </w:rPr>
        <w:t>: Test setup specification shall be left to minimum what is needed for the test purpose. Test setup shall not be used to verify other functionality which is not part of the test purpose.</w:t>
      </w:r>
    </w:p>
    <w:p w14:paraId="47F07999" w14:textId="667B1AA2" w:rsidR="00FD73BE" w:rsidRDefault="00FD73BE" w:rsidP="00EC34B7">
      <w:pPr>
        <w:overflowPunct w:val="0"/>
        <w:autoSpaceDE w:val="0"/>
        <w:autoSpaceDN w:val="0"/>
        <w:adjustRightInd w:val="0"/>
        <w:spacing w:beforeLines="50" w:before="136" w:after="0"/>
        <w:textAlignment w:val="baseline"/>
        <w:rPr>
          <w:lang w:val="en-US"/>
        </w:rPr>
      </w:pPr>
      <w:r>
        <w:rPr>
          <w:lang w:val="en-US"/>
        </w:rPr>
        <w:t xml:space="preserve">When the synchronization and two-way communication agreements are applied in frequency error test for IAB-MT, it results that there are two possible means for operation. Either IAB-MT will synchronize to the signals it receives or an external synchronization source, like GNSS, is used. </w:t>
      </w:r>
      <w:r w:rsidR="0014736E">
        <w:rPr>
          <w:lang w:val="en-US"/>
        </w:rPr>
        <w:t xml:space="preserve">The question </w:t>
      </w:r>
      <w:r w:rsidR="006C0ED6">
        <w:rPr>
          <w:lang w:val="en-US"/>
        </w:rPr>
        <w:t xml:space="preserve">resulting from this </w:t>
      </w:r>
      <w:r w:rsidR="0014736E">
        <w:rPr>
          <w:lang w:val="en-US"/>
        </w:rPr>
        <w:t xml:space="preserve">is what </w:t>
      </w:r>
      <w:proofErr w:type="gramStart"/>
      <w:r w:rsidR="0014736E">
        <w:rPr>
          <w:lang w:val="en-US"/>
        </w:rPr>
        <w:t>should be the target frequency for IAB-MT in a case</w:t>
      </w:r>
      <w:proofErr w:type="gramEnd"/>
      <w:r w:rsidR="0014736E">
        <w:rPr>
          <w:lang w:val="en-US"/>
        </w:rPr>
        <w:t xml:space="preserve"> where </w:t>
      </w:r>
      <w:r w:rsidR="006C0ED6">
        <w:rPr>
          <w:lang w:val="en-US"/>
        </w:rPr>
        <w:t xml:space="preserve">DL signals are not used, aligned with the agreement from previous meeting. </w:t>
      </w:r>
    </w:p>
    <w:p w14:paraId="1BB9A054" w14:textId="2A90C720" w:rsidR="006C0ED6" w:rsidRPr="00FD73BE" w:rsidRDefault="006C0ED6" w:rsidP="00EC34B7">
      <w:pPr>
        <w:overflowPunct w:val="0"/>
        <w:autoSpaceDE w:val="0"/>
        <w:autoSpaceDN w:val="0"/>
        <w:adjustRightInd w:val="0"/>
        <w:spacing w:beforeLines="50" w:before="136" w:after="0"/>
        <w:textAlignment w:val="baseline"/>
        <w:rPr>
          <w:lang w:val="en-US"/>
        </w:rPr>
      </w:pPr>
      <w:r>
        <w:rPr>
          <w:lang w:val="en-US"/>
        </w:rPr>
        <w:t xml:space="preserve">It can be considered that the external synchronization source acts as a reference comparable to the DL signals, providing a means to derive the channel frequency of the parent node. It can be assumed, that the available reference is accurate. Therefore, in such a case it would be natural to measure the synchronization accuracy relative to the assigned channel frequency. </w:t>
      </w:r>
    </w:p>
    <w:p w14:paraId="77BD6531" w14:textId="202CD660" w:rsidR="00FD73BE" w:rsidRDefault="00FD73BE" w:rsidP="00EC34B7">
      <w:pPr>
        <w:overflowPunct w:val="0"/>
        <w:autoSpaceDE w:val="0"/>
        <w:autoSpaceDN w:val="0"/>
        <w:adjustRightInd w:val="0"/>
        <w:spacing w:beforeLines="50" w:before="136" w:after="0"/>
        <w:textAlignment w:val="baseline"/>
        <w:rPr>
          <w:b/>
          <w:bCs/>
          <w:lang w:val="en-US"/>
        </w:rPr>
      </w:pPr>
      <w:r>
        <w:rPr>
          <w:b/>
          <w:bCs/>
          <w:lang w:val="en-US"/>
        </w:rPr>
        <w:t>Proposal 2: For IAB-MT frequency error testing allow two reference frequencies</w:t>
      </w:r>
    </w:p>
    <w:p w14:paraId="7AE6530D" w14:textId="18482E31" w:rsidR="00FD73BE" w:rsidRDefault="00FD73BE" w:rsidP="00FD73BE">
      <w:pPr>
        <w:pStyle w:val="ListParagraph"/>
        <w:numPr>
          <w:ilvl w:val="0"/>
          <w:numId w:val="28"/>
        </w:numPr>
        <w:spacing w:beforeLines="50" w:before="136" w:after="0"/>
        <w:ind w:firstLineChars="0"/>
        <w:rPr>
          <w:b/>
          <w:bCs/>
          <w:lang w:val="en-US"/>
        </w:rPr>
      </w:pPr>
      <w:r w:rsidRPr="1B128DAF">
        <w:rPr>
          <w:b/>
          <w:bCs/>
          <w:lang w:val="en-US"/>
        </w:rPr>
        <w:t>actual transmission from test equipment</w:t>
      </w:r>
      <w:r w:rsidR="0D8608EC" w:rsidRPr="1B128DAF">
        <w:rPr>
          <w:b/>
          <w:bCs/>
          <w:lang w:val="en-US"/>
        </w:rPr>
        <w:t xml:space="preserve"> (e.g. signal generator)</w:t>
      </w:r>
      <w:r w:rsidR="006C0ED6" w:rsidRPr="1B128DAF">
        <w:rPr>
          <w:b/>
          <w:bCs/>
          <w:lang w:val="en-US"/>
        </w:rPr>
        <w:t xml:space="preserve"> in case DL signals are used</w:t>
      </w:r>
    </w:p>
    <w:p w14:paraId="099ADE73" w14:textId="3B80D519" w:rsidR="00FD73BE" w:rsidRPr="00FD73BE" w:rsidRDefault="006C0ED6" w:rsidP="00EC34B7">
      <w:pPr>
        <w:pStyle w:val="ListParagraph"/>
        <w:numPr>
          <w:ilvl w:val="0"/>
          <w:numId w:val="28"/>
        </w:numPr>
        <w:spacing w:beforeLines="50" w:before="136" w:after="0"/>
        <w:ind w:firstLineChars="0"/>
        <w:rPr>
          <w:b/>
          <w:bCs/>
          <w:lang w:val="en-US"/>
        </w:rPr>
      </w:pPr>
      <w:r w:rsidRPr="1B128DAF">
        <w:rPr>
          <w:b/>
          <w:bCs/>
          <w:lang w:val="en-US"/>
        </w:rPr>
        <w:t xml:space="preserve">otherwise, </w:t>
      </w:r>
      <w:r w:rsidR="51A72093" w:rsidRPr="1B128DAF">
        <w:rPr>
          <w:b/>
          <w:bCs/>
          <w:lang w:val="en-US"/>
        </w:rPr>
        <w:t xml:space="preserve">assigned NR </w:t>
      </w:r>
      <w:r w:rsidR="00FD73BE" w:rsidRPr="1B128DAF">
        <w:rPr>
          <w:b/>
          <w:bCs/>
          <w:lang w:val="en-US"/>
        </w:rPr>
        <w:t>channel frequency</w:t>
      </w:r>
    </w:p>
    <w:p w14:paraId="33051951" w14:textId="2A9E4B89" w:rsidR="008B1801" w:rsidRPr="00FB1D91" w:rsidRDefault="0007498A" w:rsidP="00EC34B7">
      <w:pPr>
        <w:overflowPunct w:val="0"/>
        <w:autoSpaceDE w:val="0"/>
        <w:autoSpaceDN w:val="0"/>
        <w:adjustRightInd w:val="0"/>
        <w:spacing w:beforeLines="50" w:before="136" w:after="0"/>
        <w:textAlignment w:val="baseline"/>
        <w:rPr>
          <w:rFonts w:cstheme="minorHAnsi"/>
          <w:lang w:val="en-US" w:eastAsia="zh-CN"/>
        </w:rPr>
      </w:pPr>
      <w:r w:rsidRPr="00FB1D91">
        <w:rPr>
          <w:lang w:val="en-US"/>
        </w:rPr>
        <w:t xml:space="preserve">In RAN4#97-e it was also agreed that </w:t>
      </w:r>
      <w:r w:rsidRPr="00FB1D91">
        <w:rPr>
          <w:rFonts w:cstheme="minorHAnsi"/>
          <w:lang w:val="en-US" w:eastAsia="zh-CN"/>
        </w:rPr>
        <w:t xml:space="preserve">RAN4 targets to define a common </w:t>
      </w:r>
      <w:r w:rsidRPr="00FB1D91">
        <w:rPr>
          <w:rFonts w:cstheme="minorHAnsi" w:hint="eastAsia"/>
          <w:lang w:val="en-US" w:eastAsia="zh-CN"/>
        </w:rPr>
        <w:t>testing</w:t>
      </w:r>
      <w:r w:rsidRPr="00FB1D91">
        <w:rPr>
          <w:rFonts w:cstheme="minorHAnsi"/>
          <w:lang w:val="en-US" w:eastAsia="zh-CN"/>
        </w:rPr>
        <w:t xml:space="preserve"> framework for IAB-DU and IAB-MT, while MU do the TE selection can be further considered. It was discussed that as the test environments itself do not differ between IAB-MT and BS testing, the main source of difference comes from whether signal generator </w:t>
      </w:r>
      <w:r w:rsidR="008B1801" w:rsidRPr="00FB1D91">
        <w:rPr>
          <w:rFonts w:cstheme="minorHAnsi"/>
          <w:lang w:val="en-US" w:eastAsia="zh-CN"/>
        </w:rPr>
        <w:t xml:space="preserve">/ analyzer </w:t>
      </w:r>
      <w:r w:rsidRPr="00FB1D91">
        <w:rPr>
          <w:rFonts w:cstheme="minorHAnsi"/>
          <w:lang w:val="en-US" w:eastAsia="zh-CN"/>
        </w:rPr>
        <w:t>or system simulator (</w:t>
      </w:r>
      <w:proofErr w:type="spellStart"/>
      <w:r w:rsidRPr="00FB1D91">
        <w:rPr>
          <w:rFonts w:cstheme="minorHAnsi"/>
          <w:lang w:val="en-US" w:eastAsia="zh-CN"/>
        </w:rPr>
        <w:t>gNB</w:t>
      </w:r>
      <w:proofErr w:type="spellEnd"/>
      <w:r w:rsidRPr="00FB1D91">
        <w:rPr>
          <w:rFonts w:cstheme="minorHAnsi"/>
          <w:lang w:val="en-US" w:eastAsia="zh-CN"/>
        </w:rPr>
        <w:t xml:space="preserve"> emulator) is used as test equipment. </w:t>
      </w:r>
    </w:p>
    <w:p w14:paraId="5BBD6087" w14:textId="47F41A5E" w:rsidR="000C6814" w:rsidRPr="00FB1D91" w:rsidRDefault="008B1801" w:rsidP="00EC34B7">
      <w:pPr>
        <w:overflowPunct w:val="0"/>
        <w:autoSpaceDE w:val="0"/>
        <w:autoSpaceDN w:val="0"/>
        <w:adjustRightInd w:val="0"/>
        <w:spacing w:beforeLines="50" w:before="136" w:after="0"/>
        <w:textAlignment w:val="baseline"/>
        <w:rPr>
          <w:rFonts w:cstheme="minorHAnsi"/>
          <w:lang w:val="en-US" w:eastAsia="zh-CN"/>
        </w:rPr>
      </w:pPr>
      <w:r w:rsidRPr="00FB1D91">
        <w:rPr>
          <w:rFonts w:cstheme="minorHAnsi"/>
          <w:lang w:val="en-US" w:eastAsia="zh-CN"/>
        </w:rPr>
        <w:t>TR 38.903, Derivation of test tolerances and measurement uncertainty for User Equipment (UE) conformance test cases [</w:t>
      </w:r>
      <w:r w:rsidR="00692EC2" w:rsidRPr="00FB1D91">
        <w:rPr>
          <w:rFonts w:cstheme="minorHAnsi"/>
          <w:lang w:val="en-US" w:eastAsia="zh-CN"/>
        </w:rPr>
        <w:t>2</w:t>
      </w:r>
      <w:r w:rsidRPr="00FB1D91">
        <w:rPr>
          <w:rFonts w:cstheme="minorHAnsi"/>
          <w:lang w:val="en-US" w:eastAsia="zh-CN"/>
        </w:rPr>
        <w:t xml:space="preserve">] states about </w:t>
      </w:r>
      <w:proofErr w:type="spellStart"/>
      <w:r w:rsidRPr="00FB1D91">
        <w:rPr>
          <w:rFonts w:cstheme="minorHAnsi"/>
          <w:lang w:val="en-US" w:eastAsia="zh-CN"/>
        </w:rPr>
        <w:t>gNB</w:t>
      </w:r>
      <w:proofErr w:type="spellEnd"/>
      <w:r w:rsidRPr="00FB1D91">
        <w:rPr>
          <w:rFonts w:cstheme="minorHAnsi"/>
          <w:lang w:val="en-US" w:eastAsia="zh-CN"/>
        </w:rPr>
        <w:t xml:space="preserve"> emulator uncertainty that “This uncertainty should be calculated from the manufacturer’s data in logs with a rectangular distribution, unless otherwise informed. Furthermore, the uncertainty of the non-linearity is included in the absolute level uncertainty.” Therefore, it would be beneficial the get further information on test equipment vendors on the uncertainties of the </w:t>
      </w:r>
      <w:proofErr w:type="spellStart"/>
      <w:r w:rsidRPr="00FB1D91">
        <w:rPr>
          <w:rFonts w:cstheme="minorHAnsi"/>
          <w:lang w:val="en-US" w:eastAsia="zh-CN"/>
        </w:rPr>
        <w:t>gNB</w:t>
      </w:r>
      <w:proofErr w:type="spellEnd"/>
      <w:r w:rsidRPr="00FB1D91">
        <w:rPr>
          <w:rFonts w:cstheme="minorHAnsi"/>
          <w:lang w:val="en-US" w:eastAsia="zh-CN"/>
        </w:rPr>
        <w:t xml:space="preserve"> emulator.</w:t>
      </w:r>
    </w:p>
    <w:p w14:paraId="62A1BC47" w14:textId="4ECC99F4" w:rsidR="008B1801" w:rsidRPr="00FB1D91" w:rsidRDefault="008B1801" w:rsidP="00EC34B7">
      <w:pPr>
        <w:overflowPunct w:val="0"/>
        <w:autoSpaceDE w:val="0"/>
        <w:autoSpaceDN w:val="0"/>
        <w:adjustRightInd w:val="0"/>
        <w:spacing w:beforeLines="50" w:before="136" w:after="0"/>
        <w:textAlignment w:val="baseline"/>
        <w:rPr>
          <w:rFonts w:cstheme="minorHAnsi"/>
          <w:b/>
          <w:bCs/>
          <w:lang w:val="en-US" w:eastAsia="zh-CN"/>
        </w:rPr>
      </w:pPr>
      <w:r w:rsidRPr="00FB1D91">
        <w:rPr>
          <w:rFonts w:cstheme="minorHAnsi"/>
          <w:b/>
          <w:bCs/>
          <w:lang w:val="en-US" w:eastAsia="zh-CN"/>
        </w:rPr>
        <w:t xml:space="preserve">Observation </w:t>
      </w:r>
      <w:r w:rsidR="00FB1D91">
        <w:rPr>
          <w:rFonts w:cstheme="minorHAnsi"/>
          <w:b/>
          <w:bCs/>
          <w:lang w:val="en-US" w:eastAsia="zh-CN"/>
        </w:rPr>
        <w:t>1</w:t>
      </w:r>
      <w:r w:rsidRPr="00FB1D91">
        <w:rPr>
          <w:rFonts w:cstheme="minorHAnsi"/>
          <w:b/>
          <w:bCs/>
          <w:lang w:val="en-US" w:eastAsia="zh-CN"/>
        </w:rPr>
        <w:t xml:space="preserve">: Further inputs on </w:t>
      </w:r>
      <w:proofErr w:type="spellStart"/>
      <w:r w:rsidRPr="00FB1D91">
        <w:rPr>
          <w:rFonts w:cstheme="minorHAnsi"/>
          <w:b/>
          <w:bCs/>
          <w:lang w:val="en-US" w:eastAsia="zh-CN"/>
        </w:rPr>
        <w:t>gNB</w:t>
      </w:r>
      <w:proofErr w:type="spellEnd"/>
      <w:r w:rsidRPr="00FB1D91">
        <w:rPr>
          <w:rFonts w:cstheme="minorHAnsi"/>
          <w:b/>
          <w:bCs/>
          <w:lang w:val="en-US" w:eastAsia="zh-CN"/>
        </w:rPr>
        <w:t xml:space="preserve"> emulator uncertainties are </w:t>
      </w:r>
      <w:r w:rsidR="00F801B8" w:rsidRPr="00FB1D91">
        <w:rPr>
          <w:rFonts w:cstheme="minorHAnsi"/>
          <w:b/>
          <w:bCs/>
          <w:lang w:val="en-US" w:eastAsia="zh-CN"/>
        </w:rPr>
        <w:t xml:space="preserve">needed if </w:t>
      </w:r>
      <w:proofErr w:type="spellStart"/>
      <w:r w:rsidR="00F801B8" w:rsidRPr="00FB1D91">
        <w:rPr>
          <w:rFonts w:cstheme="minorHAnsi"/>
          <w:b/>
          <w:bCs/>
          <w:lang w:val="en-US" w:eastAsia="zh-CN"/>
        </w:rPr>
        <w:t>gNB</w:t>
      </w:r>
      <w:proofErr w:type="spellEnd"/>
      <w:r w:rsidR="00F801B8" w:rsidRPr="00FB1D91">
        <w:rPr>
          <w:rFonts w:cstheme="minorHAnsi"/>
          <w:b/>
          <w:bCs/>
          <w:lang w:val="en-US" w:eastAsia="zh-CN"/>
        </w:rPr>
        <w:t xml:space="preserve"> emulator is expected to be used.</w:t>
      </w:r>
    </w:p>
    <w:p w14:paraId="1B153115" w14:textId="1175EDFB" w:rsidR="008B1801" w:rsidRPr="00FB1D91" w:rsidRDefault="008B1801" w:rsidP="00EC34B7">
      <w:pPr>
        <w:overflowPunct w:val="0"/>
        <w:autoSpaceDE w:val="0"/>
        <w:autoSpaceDN w:val="0"/>
        <w:adjustRightInd w:val="0"/>
        <w:spacing w:beforeLines="50" w:before="136" w:after="0"/>
        <w:textAlignment w:val="baseline"/>
        <w:rPr>
          <w:rFonts w:cstheme="minorHAnsi"/>
          <w:lang w:val="en-US" w:eastAsia="zh-CN"/>
        </w:rPr>
      </w:pPr>
      <w:r w:rsidRPr="00FB1D91">
        <w:rPr>
          <w:rFonts w:cstheme="minorHAnsi"/>
          <w:lang w:val="en-US" w:eastAsia="zh-CN"/>
        </w:rPr>
        <w:t xml:space="preserve">Unless new information becomes available, it appears reasonable to assume that the uncertainty of signal levels is </w:t>
      </w:r>
      <w:proofErr w:type="gramStart"/>
      <w:r w:rsidRPr="00FB1D91">
        <w:rPr>
          <w:rFonts w:cstheme="minorHAnsi"/>
          <w:lang w:val="en-US" w:eastAsia="zh-CN"/>
        </w:rPr>
        <w:t>similar to</w:t>
      </w:r>
      <w:proofErr w:type="gramEnd"/>
      <w:r w:rsidRPr="00FB1D91">
        <w:rPr>
          <w:rFonts w:cstheme="minorHAnsi"/>
          <w:lang w:val="en-US" w:eastAsia="zh-CN"/>
        </w:rPr>
        <w:t xml:space="preserve"> signal generator / analyzer. This means that it is assumed that the transmitter and receiver in </w:t>
      </w:r>
      <w:proofErr w:type="spellStart"/>
      <w:r w:rsidRPr="00FB1D91">
        <w:rPr>
          <w:rFonts w:cstheme="minorHAnsi"/>
          <w:lang w:val="en-US" w:eastAsia="zh-CN"/>
        </w:rPr>
        <w:t>gNB</w:t>
      </w:r>
      <w:proofErr w:type="spellEnd"/>
      <w:r w:rsidRPr="00FB1D91">
        <w:rPr>
          <w:rFonts w:cstheme="minorHAnsi"/>
          <w:lang w:val="en-US" w:eastAsia="zh-CN"/>
        </w:rPr>
        <w:t xml:space="preserve"> emulator are of the same quality as in </w:t>
      </w:r>
      <w:r w:rsidR="00161DB7" w:rsidRPr="00FB1D91">
        <w:rPr>
          <w:rFonts w:cstheme="minorHAnsi"/>
          <w:lang w:val="en-US" w:eastAsia="zh-CN"/>
        </w:rPr>
        <w:t>signal generator / analyzer.</w:t>
      </w:r>
    </w:p>
    <w:p w14:paraId="2C7174ED" w14:textId="67B51260" w:rsidR="008B1801" w:rsidRPr="00FB1D91" w:rsidRDefault="008B1801" w:rsidP="00EC34B7">
      <w:pPr>
        <w:overflowPunct w:val="0"/>
        <w:autoSpaceDE w:val="0"/>
        <w:autoSpaceDN w:val="0"/>
        <w:adjustRightInd w:val="0"/>
        <w:spacing w:beforeLines="50" w:before="136" w:after="0"/>
        <w:textAlignment w:val="baseline"/>
        <w:rPr>
          <w:rFonts w:cstheme="minorHAnsi"/>
          <w:b/>
          <w:bCs/>
          <w:lang w:val="en-US" w:eastAsia="zh-CN"/>
        </w:rPr>
      </w:pPr>
      <w:r w:rsidRPr="00FB1D91">
        <w:rPr>
          <w:rFonts w:cstheme="minorHAnsi"/>
          <w:b/>
          <w:bCs/>
          <w:lang w:val="en-US" w:eastAsia="zh-CN"/>
        </w:rPr>
        <w:t xml:space="preserve">Proposal </w:t>
      </w:r>
      <w:r w:rsidR="00FD73BE">
        <w:rPr>
          <w:rFonts w:cstheme="minorHAnsi"/>
          <w:b/>
          <w:bCs/>
          <w:lang w:val="en-US" w:eastAsia="zh-CN"/>
        </w:rPr>
        <w:t>3</w:t>
      </w:r>
      <w:r w:rsidRPr="00FB1D91">
        <w:rPr>
          <w:rFonts w:cstheme="minorHAnsi"/>
          <w:b/>
          <w:bCs/>
          <w:lang w:val="en-US" w:eastAsia="zh-CN"/>
        </w:rPr>
        <w:t xml:space="preserve">: In case </w:t>
      </w:r>
      <w:proofErr w:type="spellStart"/>
      <w:r w:rsidRPr="00FB1D91">
        <w:rPr>
          <w:rFonts w:cstheme="minorHAnsi"/>
          <w:b/>
          <w:bCs/>
          <w:lang w:val="en-US" w:eastAsia="zh-CN"/>
        </w:rPr>
        <w:t>gNB</w:t>
      </w:r>
      <w:proofErr w:type="spellEnd"/>
      <w:r w:rsidRPr="00FB1D91">
        <w:rPr>
          <w:rFonts w:cstheme="minorHAnsi"/>
          <w:b/>
          <w:bCs/>
          <w:lang w:val="en-US" w:eastAsia="zh-CN"/>
        </w:rPr>
        <w:t xml:space="preserve"> emulator uncertainty values are not available, it is assumed that </w:t>
      </w:r>
      <w:proofErr w:type="spellStart"/>
      <w:r w:rsidRPr="00FB1D91">
        <w:rPr>
          <w:rFonts w:cstheme="minorHAnsi"/>
          <w:b/>
          <w:bCs/>
          <w:lang w:val="en-US" w:eastAsia="zh-CN"/>
        </w:rPr>
        <w:t>gNB</w:t>
      </w:r>
      <w:proofErr w:type="spellEnd"/>
      <w:r w:rsidRPr="00FB1D91">
        <w:rPr>
          <w:rFonts w:cstheme="minorHAnsi"/>
          <w:b/>
          <w:bCs/>
          <w:lang w:val="en-US" w:eastAsia="zh-CN"/>
        </w:rPr>
        <w:t xml:space="preserve"> emulator has similar uncertainty contribution as signal generator</w:t>
      </w:r>
      <w:r w:rsidR="00161DB7" w:rsidRPr="00FB1D91">
        <w:rPr>
          <w:rFonts w:cstheme="minorHAnsi"/>
          <w:b/>
          <w:bCs/>
          <w:lang w:val="en-US" w:eastAsia="zh-CN"/>
        </w:rPr>
        <w:t xml:space="preserve"> and </w:t>
      </w:r>
      <w:proofErr w:type="spellStart"/>
      <w:r w:rsidR="00161DB7" w:rsidRPr="00FB1D91">
        <w:rPr>
          <w:rFonts w:cstheme="minorHAnsi"/>
          <w:b/>
          <w:bCs/>
          <w:lang w:val="en-US" w:eastAsia="zh-CN"/>
        </w:rPr>
        <w:t>gNB</w:t>
      </w:r>
      <w:proofErr w:type="spellEnd"/>
      <w:r w:rsidR="00161DB7" w:rsidRPr="00FB1D91">
        <w:rPr>
          <w:rFonts w:cstheme="minorHAnsi"/>
          <w:b/>
          <w:bCs/>
          <w:lang w:val="en-US" w:eastAsia="zh-CN"/>
        </w:rPr>
        <w:t xml:space="preserve"> </w:t>
      </w:r>
      <w:r w:rsidR="00F801B8" w:rsidRPr="00FB1D91">
        <w:rPr>
          <w:rFonts w:cstheme="minorHAnsi"/>
          <w:b/>
          <w:bCs/>
          <w:lang w:val="en-US" w:eastAsia="zh-CN"/>
        </w:rPr>
        <w:t xml:space="preserve">test setup </w:t>
      </w:r>
      <w:r w:rsidR="00161DB7" w:rsidRPr="00FB1D91">
        <w:rPr>
          <w:rFonts w:cstheme="minorHAnsi"/>
          <w:b/>
          <w:bCs/>
          <w:lang w:val="en-US" w:eastAsia="zh-CN"/>
        </w:rPr>
        <w:t xml:space="preserve">MU/TT values </w:t>
      </w:r>
      <w:r w:rsidR="002D4B2E" w:rsidRPr="00FB1D91">
        <w:rPr>
          <w:rFonts w:cstheme="minorHAnsi"/>
          <w:b/>
          <w:bCs/>
          <w:lang w:val="en-US" w:eastAsia="zh-CN"/>
        </w:rPr>
        <w:t>are</w:t>
      </w:r>
      <w:r w:rsidR="00161DB7" w:rsidRPr="00FB1D91">
        <w:rPr>
          <w:rFonts w:cstheme="minorHAnsi"/>
          <w:b/>
          <w:bCs/>
          <w:lang w:val="en-US" w:eastAsia="zh-CN"/>
        </w:rPr>
        <w:t xml:space="preserve"> re-used.</w:t>
      </w:r>
    </w:p>
    <w:p w14:paraId="0AE5FE57" w14:textId="77777777" w:rsidR="000C6814" w:rsidRPr="000C6814" w:rsidRDefault="000C6814" w:rsidP="00EC34B7">
      <w:pPr>
        <w:overflowPunct w:val="0"/>
        <w:autoSpaceDE w:val="0"/>
        <w:autoSpaceDN w:val="0"/>
        <w:adjustRightInd w:val="0"/>
        <w:spacing w:beforeLines="50" w:before="136" w:after="0"/>
        <w:textAlignment w:val="baseline"/>
        <w:rPr>
          <w:b/>
          <w:bCs/>
          <w:lang w:val="en-US"/>
        </w:rPr>
      </w:pPr>
    </w:p>
    <w:p w14:paraId="00763621" w14:textId="6C5ACB92" w:rsidR="005302DF" w:rsidRPr="005302DF" w:rsidRDefault="00065A7B" w:rsidP="005302DF">
      <w:pPr>
        <w:pStyle w:val="Heading1"/>
        <w:rPr>
          <w:lang w:eastAsia="zh-CN"/>
        </w:rPr>
      </w:pPr>
      <w:proofErr w:type="spellStart"/>
      <w:r>
        <w:rPr>
          <w:lang w:eastAsia="zh-CN"/>
        </w:rPr>
        <w:lastRenderedPageBreak/>
        <w:t>Conclusion</w:t>
      </w:r>
      <w:proofErr w:type="spellEnd"/>
      <w:r w:rsidR="009E2215">
        <w:rPr>
          <w:lang w:eastAsia="zh-CN"/>
        </w:rPr>
        <w:t xml:space="preserve"> </w:t>
      </w:r>
    </w:p>
    <w:p w14:paraId="2E36BB03" w14:textId="5776C82C" w:rsidR="002556F8" w:rsidRDefault="00BA1B29" w:rsidP="007C5567">
      <w:pPr>
        <w:rPr>
          <w:lang w:val="sv-SE" w:eastAsia="zh-CN"/>
        </w:rPr>
      </w:pPr>
      <w:r w:rsidRPr="00FB1D91">
        <w:rPr>
          <w:lang w:val="sv-SE" w:eastAsia="zh-CN"/>
        </w:rPr>
        <w:t xml:space="preserve">In </w:t>
      </w:r>
      <w:proofErr w:type="spellStart"/>
      <w:r w:rsidRPr="00FB1D91">
        <w:rPr>
          <w:lang w:val="sv-SE" w:eastAsia="zh-CN"/>
        </w:rPr>
        <w:t>this</w:t>
      </w:r>
      <w:proofErr w:type="spellEnd"/>
      <w:r w:rsidRPr="00FB1D91">
        <w:rPr>
          <w:lang w:val="sv-SE" w:eastAsia="zh-CN"/>
        </w:rPr>
        <w:t xml:space="preserve"> </w:t>
      </w:r>
      <w:proofErr w:type="spellStart"/>
      <w:r w:rsidRPr="00FB1D91">
        <w:rPr>
          <w:lang w:val="sv-SE" w:eastAsia="zh-CN"/>
        </w:rPr>
        <w:t>contribution</w:t>
      </w:r>
      <w:proofErr w:type="spellEnd"/>
      <w:r w:rsidRPr="00FB1D91">
        <w:rPr>
          <w:lang w:val="sv-SE" w:eastAsia="zh-CN"/>
        </w:rPr>
        <w:t xml:space="preserve"> </w:t>
      </w:r>
      <w:r w:rsidR="00F46D37" w:rsidRPr="00FB1D91">
        <w:rPr>
          <w:lang w:val="sv-SE" w:eastAsia="zh-CN"/>
        </w:rPr>
        <w:t xml:space="preserve">IAB-MT </w:t>
      </w:r>
      <w:proofErr w:type="spellStart"/>
      <w:r w:rsidR="004F3622" w:rsidRPr="00FB1D91">
        <w:rPr>
          <w:lang w:val="sv-SE" w:eastAsia="zh-CN"/>
        </w:rPr>
        <w:t>testing</w:t>
      </w:r>
      <w:proofErr w:type="spellEnd"/>
      <w:r w:rsidR="004F3622" w:rsidRPr="00FB1D91">
        <w:rPr>
          <w:lang w:val="sv-SE" w:eastAsia="zh-CN"/>
        </w:rPr>
        <w:t xml:space="preserve"> </w:t>
      </w:r>
      <w:proofErr w:type="spellStart"/>
      <w:r w:rsidR="004F3622" w:rsidRPr="00FB1D91">
        <w:rPr>
          <w:lang w:val="sv-SE" w:eastAsia="zh-CN"/>
        </w:rPr>
        <w:t>aspects</w:t>
      </w:r>
      <w:proofErr w:type="spellEnd"/>
      <w:r w:rsidR="002556F8" w:rsidRPr="00FB1D91">
        <w:rPr>
          <w:lang w:val="sv-SE" w:eastAsia="zh-CN"/>
        </w:rPr>
        <w:t xml:space="preserve"> </w:t>
      </w:r>
      <w:proofErr w:type="spellStart"/>
      <w:r w:rsidR="00F46D37" w:rsidRPr="00FB1D91">
        <w:rPr>
          <w:lang w:val="sv-SE" w:eastAsia="zh-CN"/>
        </w:rPr>
        <w:t>were</w:t>
      </w:r>
      <w:proofErr w:type="spellEnd"/>
      <w:r w:rsidR="00F46D37" w:rsidRPr="00FB1D91">
        <w:rPr>
          <w:lang w:val="sv-SE" w:eastAsia="zh-CN"/>
        </w:rPr>
        <w:t xml:space="preserve"> </w:t>
      </w:r>
      <w:proofErr w:type="spellStart"/>
      <w:r w:rsidR="00F46D37" w:rsidRPr="00FB1D91">
        <w:rPr>
          <w:lang w:val="sv-SE" w:eastAsia="zh-CN"/>
        </w:rPr>
        <w:t>discussed</w:t>
      </w:r>
      <w:proofErr w:type="spellEnd"/>
      <w:r w:rsidR="00F46D37" w:rsidRPr="00FB1D91">
        <w:rPr>
          <w:lang w:val="sv-SE" w:eastAsia="zh-CN"/>
        </w:rPr>
        <w:t xml:space="preserve">. </w:t>
      </w:r>
      <w:r w:rsidRPr="00FB1D91">
        <w:rPr>
          <w:lang w:val="sv-SE" w:eastAsia="zh-CN"/>
        </w:rPr>
        <w:t xml:space="preserve">The </w:t>
      </w:r>
      <w:proofErr w:type="spellStart"/>
      <w:r w:rsidRPr="00FB1D91">
        <w:rPr>
          <w:lang w:val="sv-SE" w:eastAsia="zh-CN"/>
        </w:rPr>
        <w:t>following</w:t>
      </w:r>
      <w:proofErr w:type="spellEnd"/>
      <w:r w:rsidRPr="00FB1D91">
        <w:rPr>
          <w:lang w:val="sv-SE" w:eastAsia="zh-CN"/>
        </w:rPr>
        <w:t xml:space="preserve"> </w:t>
      </w:r>
      <w:r w:rsidR="004F3622" w:rsidRPr="00FB1D91">
        <w:rPr>
          <w:lang w:val="sv-SE" w:eastAsia="zh-CN"/>
        </w:rPr>
        <w:t>observations</w:t>
      </w:r>
      <w:r w:rsidR="002556F8" w:rsidRPr="00FB1D91">
        <w:rPr>
          <w:lang w:val="sv-SE" w:eastAsia="zh-CN"/>
        </w:rPr>
        <w:t xml:space="preserve"> and </w:t>
      </w:r>
      <w:proofErr w:type="spellStart"/>
      <w:r w:rsidR="004F3622" w:rsidRPr="00FB1D91">
        <w:rPr>
          <w:lang w:val="sv-SE" w:eastAsia="zh-CN"/>
        </w:rPr>
        <w:t>proposals</w:t>
      </w:r>
      <w:proofErr w:type="spellEnd"/>
      <w:r w:rsidR="002556F8" w:rsidRPr="00FB1D91">
        <w:rPr>
          <w:lang w:val="sv-SE" w:eastAsia="zh-CN"/>
        </w:rPr>
        <w:t xml:space="preserve"> </w:t>
      </w:r>
      <w:proofErr w:type="spellStart"/>
      <w:r w:rsidR="002556F8" w:rsidRPr="00FB1D91">
        <w:rPr>
          <w:lang w:val="sv-SE" w:eastAsia="zh-CN"/>
        </w:rPr>
        <w:t>w</w:t>
      </w:r>
      <w:r w:rsidR="004F3622" w:rsidRPr="00FB1D91">
        <w:rPr>
          <w:lang w:val="sv-SE" w:eastAsia="zh-CN"/>
        </w:rPr>
        <w:t>ere</w:t>
      </w:r>
      <w:proofErr w:type="spellEnd"/>
      <w:r w:rsidR="002556F8" w:rsidRPr="00FB1D91">
        <w:rPr>
          <w:lang w:val="sv-SE" w:eastAsia="zh-CN"/>
        </w:rPr>
        <w:t xml:space="preserve"> </w:t>
      </w:r>
      <w:proofErr w:type="spellStart"/>
      <w:r w:rsidR="002556F8" w:rsidRPr="00FB1D91">
        <w:rPr>
          <w:lang w:val="sv-SE" w:eastAsia="zh-CN"/>
        </w:rPr>
        <w:t>made</w:t>
      </w:r>
      <w:proofErr w:type="spellEnd"/>
      <w:r w:rsidR="00F46D37" w:rsidRPr="00FB1D91">
        <w:rPr>
          <w:lang w:val="sv-SE" w:eastAsia="zh-CN"/>
        </w:rPr>
        <w:t>:</w:t>
      </w:r>
    </w:p>
    <w:p w14:paraId="05099A5B" w14:textId="714BBB78" w:rsidR="00FD73BE" w:rsidRDefault="00FD73BE" w:rsidP="00FD73BE">
      <w:pPr>
        <w:overflowPunct w:val="0"/>
        <w:autoSpaceDE w:val="0"/>
        <w:autoSpaceDN w:val="0"/>
        <w:adjustRightInd w:val="0"/>
        <w:spacing w:beforeLines="50" w:before="136" w:after="0"/>
        <w:textAlignment w:val="baseline"/>
        <w:rPr>
          <w:b/>
          <w:bCs/>
          <w:lang w:val="en-US"/>
        </w:rPr>
      </w:pPr>
      <w:r w:rsidRPr="1B128DAF">
        <w:rPr>
          <w:b/>
          <w:bCs/>
          <w:lang w:val="en-US"/>
        </w:rPr>
        <w:t>Proposal 1: Test setup specification shall be left to minimum what is needed for the test purpose. Test setup shall not be used to verify other functionality which is not part of the test purpose.</w:t>
      </w:r>
    </w:p>
    <w:p w14:paraId="478E26D0" w14:textId="202CD660" w:rsidR="39637F43" w:rsidRDefault="39637F43" w:rsidP="1B128DAF">
      <w:pPr>
        <w:spacing w:beforeLines="50" w:before="136" w:after="0"/>
        <w:rPr>
          <w:b/>
          <w:bCs/>
          <w:lang w:val="en-US"/>
        </w:rPr>
      </w:pPr>
      <w:r w:rsidRPr="1B128DAF">
        <w:rPr>
          <w:b/>
          <w:bCs/>
          <w:lang w:val="en-US"/>
        </w:rPr>
        <w:t>Proposal 2: For IAB-MT frequency error testing allow two reference frequencies</w:t>
      </w:r>
    </w:p>
    <w:p w14:paraId="227A9C0B" w14:textId="18482E31" w:rsidR="39637F43" w:rsidRDefault="39637F43" w:rsidP="1B128DAF">
      <w:pPr>
        <w:pStyle w:val="ListParagraph"/>
        <w:numPr>
          <w:ilvl w:val="0"/>
          <w:numId w:val="28"/>
        </w:numPr>
        <w:spacing w:beforeLines="50" w:before="136" w:after="0"/>
        <w:ind w:firstLineChars="0"/>
        <w:rPr>
          <w:b/>
          <w:bCs/>
          <w:lang w:val="en-US"/>
        </w:rPr>
      </w:pPr>
      <w:r w:rsidRPr="1B128DAF">
        <w:rPr>
          <w:b/>
          <w:bCs/>
          <w:lang w:val="en-US"/>
        </w:rPr>
        <w:t>actual transmission from test equipment (e.g. signal generator) in case DL signals are used</w:t>
      </w:r>
    </w:p>
    <w:p w14:paraId="757B6E32" w14:textId="1651089F" w:rsidR="39637F43" w:rsidRDefault="39637F43" w:rsidP="1B128DAF">
      <w:pPr>
        <w:pStyle w:val="ListParagraph"/>
        <w:numPr>
          <w:ilvl w:val="0"/>
          <w:numId w:val="28"/>
        </w:numPr>
        <w:spacing w:beforeLines="50" w:before="136" w:after="0"/>
        <w:ind w:firstLineChars="0"/>
        <w:rPr>
          <w:b/>
          <w:bCs/>
          <w:lang w:val="en-US"/>
        </w:rPr>
      </w:pPr>
      <w:r w:rsidRPr="1B128DAF">
        <w:rPr>
          <w:b/>
          <w:bCs/>
          <w:lang w:val="en-US"/>
        </w:rPr>
        <w:t>otherwise, assigned NR channel frequency</w:t>
      </w:r>
    </w:p>
    <w:p w14:paraId="4F1CB125" w14:textId="099327D4" w:rsidR="00FD73BE" w:rsidRDefault="00FD73BE" w:rsidP="00FD73BE">
      <w:pPr>
        <w:overflowPunct w:val="0"/>
        <w:autoSpaceDE w:val="0"/>
        <w:autoSpaceDN w:val="0"/>
        <w:adjustRightInd w:val="0"/>
        <w:spacing w:beforeLines="50" w:before="136" w:after="0"/>
        <w:textAlignment w:val="baseline"/>
        <w:rPr>
          <w:rFonts w:cstheme="minorHAnsi"/>
          <w:b/>
          <w:bCs/>
          <w:lang w:val="en-US" w:eastAsia="zh-CN"/>
        </w:rPr>
      </w:pPr>
      <w:r w:rsidRPr="00FB1D91">
        <w:rPr>
          <w:rFonts w:cstheme="minorHAnsi"/>
          <w:b/>
          <w:bCs/>
          <w:lang w:val="en-US" w:eastAsia="zh-CN"/>
        </w:rPr>
        <w:t xml:space="preserve">Observation </w:t>
      </w:r>
      <w:r>
        <w:rPr>
          <w:rFonts w:cstheme="minorHAnsi"/>
          <w:b/>
          <w:bCs/>
          <w:lang w:val="en-US" w:eastAsia="zh-CN"/>
        </w:rPr>
        <w:t>1</w:t>
      </w:r>
      <w:r w:rsidRPr="00FB1D91">
        <w:rPr>
          <w:rFonts w:cstheme="minorHAnsi"/>
          <w:b/>
          <w:bCs/>
          <w:lang w:val="en-US" w:eastAsia="zh-CN"/>
        </w:rPr>
        <w:t xml:space="preserve">: Further inputs on </w:t>
      </w:r>
      <w:proofErr w:type="spellStart"/>
      <w:r w:rsidRPr="00FB1D91">
        <w:rPr>
          <w:rFonts w:cstheme="minorHAnsi"/>
          <w:b/>
          <w:bCs/>
          <w:lang w:val="en-US" w:eastAsia="zh-CN"/>
        </w:rPr>
        <w:t>gNB</w:t>
      </w:r>
      <w:proofErr w:type="spellEnd"/>
      <w:r w:rsidRPr="00FB1D91">
        <w:rPr>
          <w:rFonts w:cstheme="minorHAnsi"/>
          <w:b/>
          <w:bCs/>
          <w:lang w:val="en-US" w:eastAsia="zh-CN"/>
        </w:rPr>
        <w:t xml:space="preserve"> emulator uncertainties are needed if </w:t>
      </w:r>
      <w:proofErr w:type="spellStart"/>
      <w:r w:rsidRPr="00FB1D91">
        <w:rPr>
          <w:rFonts w:cstheme="minorHAnsi"/>
          <w:b/>
          <w:bCs/>
          <w:lang w:val="en-US" w:eastAsia="zh-CN"/>
        </w:rPr>
        <w:t>gNB</w:t>
      </w:r>
      <w:proofErr w:type="spellEnd"/>
      <w:r w:rsidRPr="00FB1D91">
        <w:rPr>
          <w:rFonts w:cstheme="minorHAnsi"/>
          <w:b/>
          <w:bCs/>
          <w:lang w:val="en-US" w:eastAsia="zh-CN"/>
        </w:rPr>
        <w:t xml:space="preserve"> emulator is expected to be used.</w:t>
      </w:r>
    </w:p>
    <w:p w14:paraId="55CDA60C" w14:textId="77777777" w:rsidR="00FD73BE" w:rsidRPr="00FB1D91" w:rsidRDefault="00FD73BE" w:rsidP="00FD73BE">
      <w:pPr>
        <w:overflowPunct w:val="0"/>
        <w:autoSpaceDE w:val="0"/>
        <w:autoSpaceDN w:val="0"/>
        <w:adjustRightInd w:val="0"/>
        <w:spacing w:beforeLines="50" w:before="136" w:after="0"/>
        <w:textAlignment w:val="baseline"/>
        <w:rPr>
          <w:rFonts w:cstheme="minorHAnsi"/>
          <w:b/>
          <w:bCs/>
          <w:lang w:val="en-US" w:eastAsia="zh-CN"/>
        </w:rPr>
      </w:pPr>
      <w:r w:rsidRPr="00FB1D91">
        <w:rPr>
          <w:rFonts w:cstheme="minorHAnsi"/>
          <w:b/>
          <w:bCs/>
          <w:lang w:val="en-US" w:eastAsia="zh-CN"/>
        </w:rPr>
        <w:t xml:space="preserve">Proposal </w:t>
      </w:r>
      <w:r>
        <w:rPr>
          <w:rFonts w:cstheme="minorHAnsi"/>
          <w:b/>
          <w:bCs/>
          <w:lang w:val="en-US" w:eastAsia="zh-CN"/>
        </w:rPr>
        <w:t>3</w:t>
      </w:r>
      <w:r w:rsidRPr="00FB1D91">
        <w:rPr>
          <w:rFonts w:cstheme="minorHAnsi"/>
          <w:b/>
          <w:bCs/>
          <w:lang w:val="en-US" w:eastAsia="zh-CN"/>
        </w:rPr>
        <w:t xml:space="preserve">: In case </w:t>
      </w:r>
      <w:proofErr w:type="spellStart"/>
      <w:r w:rsidRPr="00FB1D91">
        <w:rPr>
          <w:rFonts w:cstheme="minorHAnsi"/>
          <w:b/>
          <w:bCs/>
          <w:lang w:val="en-US" w:eastAsia="zh-CN"/>
        </w:rPr>
        <w:t>gNB</w:t>
      </w:r>
      <w:proofErr w:type="spellEnd"/>
      <w:r w:rsidRPr="00FB1D91">
        <w:rPr>
          <w:rFonts w:cstheme="minorHAnsi"/>
          <w:b/>
          <w:bCs/>
          <w:lang w:val="en-US" w:eastAsia="zh-CN"/>
        </w:rPr>
        <w:t xml:space="preserve"> emulator uncertainty values are not available, it is assumed that </w:t>
      </w:r>
      <w:proofErr w:type="spellStart"/>
      <w:r w:rsidRPr="00FB1D91">
        <w:rPr>
          <w:rFonts w:cstheme="minorHAnsi"/>
          <w:b/>
          <w:bCs/>
          <w:lang w:val="en-US" w:eastAsia="zh-CN"/>
        </w:rPr>
        <w:t>gNB</w:t>
      </w:r>
      <w:proofErr w:type="spellEnd"/>
      <w:r w:rsidRPr="00FB1D91">
        <w:rPr>
          <w:rFonts w:cstheme="minorHAnsi"/>
          <w:b/>
          <w:bCs/>
          <w:lang w:val="en-US" w:eastAsia="zh-CN"/>
        </w:rPr>
        <w:t xml:space="preserve"> emulator has similar uncertainty contribution as signal generator and </w:t>
      </w:r>
      <w:proofErr w:type="spellStart"/>
      <w:r w:rsidRPr="00FB1D91">
        <w:rPr>
          <w:rFonts w:cstheme="minorHAnsi"/>
          <w:b/>
          <w:bCs/>
          <w:lang w:val="en-US" w:eastAsia="zh-CN"/>
        </w:rPr>
        <w:t>gNB</w:t>
      </w:r>
      <w:proofErr w:type="spellEnd"/>
      <w:r w:rsidRPr="00FB1D91">
        <w:rPr>
          <w:rFonts w:cstheme="minorHAnsi"/>
          <w:b/>
          <w:bCs/>
          <w:lang w:val="en-US" w:eastAsia="zh-CN"/>
        </w:rPr>
        <w:t xml:space="preserve"> test setup MU/TT values are re-used.</w:t>
      </w:r>
    </w:p>
    <w:p w14:paraId="6D6BA609" w14:textId="77777777" w:rsidR="00FD73BE" w:rsidRPr="00FB1D91" w:rsidRDefault="00FD73BE" w:rsidP="00FD73BE">
      <w:pPr>
        <w:overflowPunct w:val="0"/>
        <w:autoSpaceDE w:val="0"/>
        <w:autoSpaceDN w:val="0"/>
        <w:adjustRightInd w:val="0"/>
        <w:spacing w:beforeLines="50" w:before="136" w:after="0"/>
        <w:textAlignment w:val="baseline"/>
        <w:rPr>
          <w:rFonts w:cstheme="minorHAnsi"/>
          <w:b/>
          <w:bCs/>
          <w:lang w:val="en-US" w:eastAsia="zh-CN"/>
        </w:rPr>
      </w:pPr>
    </w:p>
    <w:p w14:paraId="02EA20CC" w14:textId="77777777" w:rsidR="00FD73BE" w:rsidRPr="00FB1D91" w:rsidRDefault="00FD73BE" w:rsidP="007C5567">
      <w:pPr>
        <w:rPr>
          <w:b/>
          <w:bCs/>
          <w:lang w:val="en-US"/>
        </w:rPr>
      </w:pP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7E3D9B52" w14:textId="51B49DD4" w:rsidR="00EC34B7" w:rsidRDefault="00065A7B" w:rsidP="00F46D37">
      <w:pPr>
        <w:rPr>
          <w:lang w:val="en-US" w:eastAsia="ja-JP"/>
        </w:rPr>
      </w:pPr>
      <w:r>
        <w:rPr>
          <w:lang w:val="en-US" w:eastAsia="ja-JP"/>
        </w:rPr>
        <w:t xml:space="preserve">[1] </w:t>
      </w:r>
      <w:r w:rsidR="00F46D37">
        <w:rPr>
          <w:lang w:val="en-US" w:eastAsia="ja-JP"/>
        </w:rPr>
        <w:t>R4-</w:t>
      </w:r>
      <w:r w:rsidR="00C04162">
        <w:rPr>
          <w:lang w:val="en-US" w:eastAsia="ja-JP"/>
        </w:rPr>
        <w:t>2</w:t>
      </w:r>
      <w:r w:rsidR="00FB1D91">
        <w:rPr>
          <w:lang w:val="en-US" w:eastAsia="ja-JP"/>
        </w:rPr>
        <w:t>103853</w:t>
      </w:r>
      <w:r w:rsidR="00C04162">
        <w:rPr>
          <w:lang w:val="en-US" w:eastAsia="ja-JP"/>
        </w:rPr>
        <w:t xml:space="preserve">, </w:t>
      </w:r>
      <w:r w:rsidR="00FB1D91" w:rsidRPr="00FB1D91">
        <w:rPr>
          <w:lang w:val="en-US" w:eastAsia="ja-JP"/>
        </w:rPr>
        <w:t>WF on IAB-MT test environment</w:t>
      </w:r>
      <w:r w:rsidR="00C04162" w:rsidRPr="00C04162">
        <w:rPr>
          <w:lang w:val="en-US" w:eastAsia="ja-JP"/>
        </w:rPr>
        <w:t xml:space="preserve">, </w:t>
      </w:r>
      <w:r w:rsidR="00FB1D91">
        <w:rPr>
          <w:lang w:val="en-US" w:eastAsia="ja-JP"/>
        </w:rPr>
        <w:t>Ericsson</w:t>
      </w:r>
    </w:p>
    <w:p w14:paraId="244964A3" w14:textId="2B88E85F" w:rsidR="00FB1D91" w:rsidRDefault="00FB1D91" w:rsidP="00F46D37">
      <w:pPr>
        <w:rPr>
          <w:lang w:val="en-US" w:eastAsia="ja-JP"/>
        </w:rPr>
      </w:pPr>
      <w:r>
        <w:rPr>
          <w:lang w:val="en-US" w:eastAsia="ja-JP"/>
        </w:rPr>
        <w:t>[2]</w:t>
      </w:r>
      <w:r w:rsidRPr="00FB1D91">
        <w:rPr>
          <w:lang w:val="en-US" w:eastAsia="ja-JP"/>
        </w:rPr>
        <w:t xml:space="preserve"> </w:t>
      </w:r>
      <w:r>
        <w:rPr>
          <w:lang w:val="en-US" w:eastAsia="ja-JP"/>
        </w:rPr>
        <w:t xml:space="preserve">R4-2103977, </w:t>
      </w:r>
      <w:r w:rsidRPr="00FB1D91">
        <w:rPr>
          <w:lang w:val="en-US" w:eastAsia="ja-JP"/>
        </w:rPr>
        <w:t>WF on Testing aspect on IAB-MT dynamic range, power control and frequency</w:t>
      </w:r>
      <w:r w:rsidRPr="00C04162">
        <w:rPr>
          <w:lang w:val="en-US" w:eastAsia="ja-JP"/>
        </w:rPr>
        <w:t xml:space="preserve">, </w:t>
      </w:r>
      <w:r>
        <w:rPr>
          <w:lang w:val="en-US" w:eastAsia="ja-JP"/>
        </w:rPr>
        <w:t>Samsung</w:t>
      </w:r>
    </w:p>
    <w:p w14:paraId="0E6FC2AC" w14:textId="6C6AEE81" w:rsidR="00692EC2" w:rsidRPr="00065A7B" w:rsidRDefault="00692EC2" w:rsidP="00F46D37">
      <w:pPr>
        <w:rPr>
          <w:lang w:val="en-US" w:eastAsia="ja-JP"/>
        </w:rPr>
      </w:pPr>
      <w:r>
        <w:rPr>
          <w:lang w:val="en-US" w:eastAsia="ja-JP"/>
        </w:rPr>
        <w:t xml:space="preserve">[2] 3GPP TR 38.903, </w:t>
      </w:r>
      <w:r w:rsidRPr="00692EC2">
        <w:rPr>
          <w:lang w:val="en-US" w:eastAsia="ja-JP"/>
        </w:rPr>
        <w:t>Derivation of test tolerances and measurement uncertainty for User Equipment (UE) conformance test cases</w:t>
      </w:r>
      <w:r>
        <w:rPr>
          <w:lang w:val="en-US" w:eastAsia="ja-JP"/>
        </w:rPr>
        <w:t>, v. 16.6.0</w:t>
      </w:r>
    </w:p>
    <w:sectPr w:rsidR="00692EC2" w:rsidRPr="00065A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96A1B" w14:textId="77777777" w:rsidR="00F408E0" w:rsidRDefault="00F408E0" w:rsidP="001E365C">
      <w:pPr>
        <w:spacing w:after="0"/>
      </w:pPr>
      <w:r>
        <w:separator/>
      </w:r>
    </w:p>
  </w:endnote>
  <w:endnote w:type="continuationSeparator" w:id="0">
    <w:p w14:paraId="2CD26ABE" w14:textId="77777777" w:rsidR="00F408E0" w:rsidRDefault="00F408E0" w:rsidP="001E365C">
      <w:pPr>
        <w:spacing w:after="0"/>
      </w:pPr>
      <w:r>
        <w:continuationSeparator/>
      </w:r>
    </w:p>
  </w:endnote>
  <w:endnote w:type="continuationNotice" w:id="1">
    <w:p w14:paraId="39EB1E6F" w14:textId="77777777" w:rsidR="00F408E0" w:rsidRDefault="00F40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D5C80" w14:textId="77777777" w:rsidR="00F408E0" w:rsidRDefault="00F408E0" w:rsidP="001E365C">
      <w:pPr>
        <w:spacing w:after="0"/>
      </w:pPr>
      <w:r>
        <w:separator/>
      </w:r>
    </w:p>
  </w:footnote>
  <w:footnote w:type="continuationSeparator" w:id="0">
    <w:p w14:paraId="73AF61BB" w14:textId="77777777" w:rsidR="00F408E0" w:rsidRDefault="00F408E0" w:rsidP="001E365C">
      <w:pPr>
        <w:spacing w:after="0"/>
      </w:pPr>
      <w:r>
        <w:continuationSeparator/>
      </w:r>
    </w:p>
  </w:footnote>
  <w:footnote w:type="continuationNotice" w:id="1">
    <w:p w14:paraId="3E588599" w14:textId="77777777" w:rsidR="00F408E0" w:rsidRDefault="00F40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02D53"/>
    <w:multiLevelType w:val="hybridMultilevel"/>
    <w:tmpl w:val="E6AACAC2"/>
    <w:lvl w:ilvl="0" w:tplc="0122CF2E">
      <w:start w:val="1"/>
      <w:numFmt w:val="bullet"/>
      <w:lvlText w:val="•"/>
      <w:lvlJc w:val="left"/>
      <w:pPr>
        <w:tabs>
          <w:tab w:val="num" w:pos="720"/>
        </w:tabs>
        <w:ind w:left="720" w:hanging="360"/>
      </w:pPr>
      <w:rPr>
        <w:rFonts w:ascii="Arial" w:hAnsi="Arial" w:hint="default"/>
      </w:rPr>
    </w:lvl>
    <w:lvl w:ilvl="1" w:tplc="C16AB502">
      <w:numFmt w:val="bullet"/>
      <w:lvlText w:val="•"/>
      <w:lvlJc w:val="left"/>
      <w:pPr>
        <w:tabs>
          <w:tab w:val="num" w:pos="1440"/>
        </w:tabs>
        <w:ind w:left="1440" w:hanging="360"/>
      </w:pPr>
      <w:rPr>
        <w:rFonts w:ascii="Arial" w:hAnsi="Arial" w:hint="default"/>
      </w:rPr>
    </w:lvl>
    <w:lvl w:ilvl="2" w:tplc="8FB23D5E">
      <w:start w:val="1"/>
      <w:numFmt w:val="bullet"/>
      <w:lvlText w:val="•"/>
      <w:lvlJc w:val="left"/>
      <w:pPr>
        <w:tabs>
          <w:tab w:val="num" w:pos="2160"/>
        </w:tabs>
        <w:ind w:left="2160" w:hanging="360"/>
      </w:pPr>
      <w:rPr>
        <w:rFonts w:ascii="Arial" w:hAnsi="Arial" w:hint="default"/>
      </w:rPr>
    </w:lvl>
    <w:lvl w:ilvl="3" w:tplc="C33EC5AA" w:tentative="1">
      <w:start w:val="1"/>
      <w:numFmt w:val="bullet"/>
      <w:lvlText w:val="•"/>
      <w:lvlJc w:val="left"/>
      <w:pPr>
        <w:tabs>
          <w:tab w:val="num" w:pos="2880"/>
        </w:tabs>
        <w:ind w:left="2880" w:hanging="360"/>
      </w:pPr>
      <w:rPr>
        <w:rFonts w:ascii="Arial" w:hAnsi="Arial" w:hint="default"/>
      </w:rPr>
    </w:lvl>
    <w:lvl w:ilvl="4" w:tplc="992C9B40" w:tentative="1">
      <w:start w:val="1"/>
      <w:numFmt w:val="bullet"/>
      <w:lvlText w:val="•"/>
      <w:lvlJc w:val="left"/>
      <w:pPr>
        <w:tabs>
          <w:tab w:val="num" w:pos="3600"/>
        </w:tabs>
        <w:ind w:left="3600" w:hanging="360"/>
      </w:pPr>
      <w:rPr>
        <w:rFonts w:ascii="Arial" w:hAnsi="Arial" w:hint="default"/>
      </w:rPr>
    </w:lvl>
    <w:lvl w:ilvl="5" w:tplc="6EB0DEE8" w:tentative="1">
      <w:start w:val="1"/>
      <w:numFmt w:val="bullet"/>
      <w:lvlText w:val="•"/>
      <w:lvlJc w:val="left"/>
      <w:pPr>
        <w:tabs>
          <w:tab w:val="num" w:pos="4320"/>
        </w:tabs>
        <w:ind w:left="4320" w:hanging="360"/>
      </w:pPr>
      <w:rPr>
        <w:rFonts w:ascii="Arial" w:hAnsi="Arial" w:hint="default"/>
      </w:rPr>
    </w:lvl>
    <w:lvl w:ilvl="6" w:tplc="1BD2A032" w:tentative="1">
      <w:start w:val="1"/>
      <w:numFmt w:val="bullet"/>
      <w:lvlText w:val="•"/>
      <w:lvlJc w:val="left"/>
      <w:pPr>
        <w:tabs>
          <w:tab w:val="num" w:pos="5040"/>
        </w:tabs>
        <w:ind w:left="5040" w:hanging="360"/>
      </w:pPr>
      <w:rPr>
        <w:rFonts w:ascii="Arial" w:hAnsi="Arial" w:hint="default"/>
      </w:rPr>
    </w:lvl>
    <w:lvl w:ilvl="7" w:tplc="1F5C71A8" w:tentative="1">
      <w:start w:val="1"/>
      <w:numFmt w:val="bullet"/>
      <w:lvlText w:val="•"/>
      <w:lvlJc w:val="left"/>
      <w:pPr>
        <w:tabs>
          <w:tab w:val="num" w:pos="5760"/>
        </w:tabs>
        <w:ind w:left="5760" w:hanging="360"/>
      </w:pPr>
      <w:rPr>
        <w:rFonts w:ascii="Arial" w:hAnsi="Arial" w:hint="default"/>
      </w:rPr>
    </w:lvl>
    <w:lvl w:ilvl="8" w:tplc="B5FCFC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535D6"/>
    <w:multiLevelType w:val="hybridMultilevel"/>
    <w:tmpl w:val="F7FE6176"/>
    <w:lvl w:ilvl="0" w:tplc="436E5FBA">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23C22"/>
    <w:multiLevelType w:val="hybridMultilevel"/>
    <w:tmpl w:val="566CE8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00C4DF2"/>
    <w:multiLevelType w:val="hybridMultilevel"/>
    <w:tmpl w:val="CB96D724"/>
    <w:lvl w:ilvl="0" w:tplc="040B0003">
      <w:start w:val="1"/>
      <w:numFmt w:val="bullet"/>
      <w:lvlText w:val="o"/>
      <w:lvlJc w:val="left"/>
      <w:pPr>
        <w:ind w:left="1440" w:hanging="360"/>
      </w:pPr>
      <w:rPr>
        <w:rFonts w:ascii="Courier New" w:hAnsi="Courier New" w:cs="Courier New"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start w:val="1"/>
      <w:numFmt w:val="bullet"/>
      <w:lvlText w:val="o"/>
      <w:lvlJc w:val="left"/>
      <w:pPr>
        <w:ind w:left="4320" w:hanging="360"/>
      </w:pPr>
      <w:rPr>
        <w:rFonts w:ascii="Courier New" w:hAnsi="Courier New" w:cs="Courier New" w:hint="default"/>
      </w:rPr>
    </w:lvl>
    <w:lvl w:ilvl="5" w:tplc="040B0005">
      <w:start w:val="1"/>
      <w:numFmt w:val="bullet"/>
      <w:lvlText w:val=""/>
      <w:lvlJc w:val="left"/>
      <w:pPr>
        <w:ind w:left="5040" w:hanging="360"/>
      </w:pPr>
      <w:rPr>
        <w:rFonts w:ascii="Wingdings" w:hAnsi="Wingdings" w:hint="default"/>
      </w:rPr>
    </w:lvl>
    <w:lvl w:ilvl="6" w:tplc="040B0001">
      <w:start w:val="1"/>
      <w:numFmt w:val="bullet"/>
      <w:lvlText w:val=""/>
      <w:lvlJc w:val="left"/>
      <w:pPr>
        <w:ind w:left="5760" w:hanging="360"/>
      </w:pPr>
      <w:rPr>
        <w:rFonts w:ascii="Symbol" w:hAnsi="Symbol" w:hint="default"/>
      </w:rPr>
    </w:lvl>
    <w:lvl w:ilvl="7" w:tplc="040B0003">
      <w:start w:val="1"/>
      <w:numFmt w:val="bullet"/>
      <w:lvlText w:val="o"/>
      <w:lvlJc w:val="left"/>
      <w:pPr>
        <w:ind w:left="6480" w:hanging="360"/>
      </w:pPr>
      <w:rPr>
        <w:rFonts w:ascii="Courier New" w:hAnsi="Courier New" w:cs="Courier New" w:hint="default"/>
      </w:rPr>
    </w:lvl>
    <w:lvl w:ilvl="8" w:tplc="040B0005">
      <w:start w:val="1"/>
      <w:numFmt w:val="bullet"/>
      <w:lvlText w:val=""/>
      <w:lvlJc w:val="left"/>
      <w:pPr>
        <w:ind w:left="7200" w:hanging="360"/>
      </w:pPr>
      <w:rPr>
        <w:rFonts w:ascii="Wingdings" w:hAnsi="Wingdings" w:hint="default"/>
      </w:rPr>
    </w:lvl>
  </w:abstractNum>
  <w:abstractNum w:abstractNumId="5"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CD351C"/>
    <w:multiLevelType w:val="hybridMultilevel"/>
    <w:tmpl w:val="4F166046"/>
    <w:lvl w:ilvl="0" w:tplc="F2A40218">
      <w:start w:val="1"/>
      <w:numFmt w:val="bullet"/>
      <w:lvlText w:val="•"/>
      <w:lvlJc w:val="left"/>
      <w:pPr>
        <w:tabs>
          <w:tab w:val="num" w:pos="720"/>
        </w:tabs>
        <w:ind w:left="720" w:hanging="360"/>
      </w:pPr>
      <w:rPr>
        <w:rFonts w:ascii="Arial" w:hAnsi="Arial" w:hint="default"/>
      </w:rPr>
    </w:lvl>
    <w:lvl w:ilvl="1" w:tplc="C8A283E0">
      <w:start w:val="1"/>
      <w:numFmt w:val="bullet"/>
      <w:lvlText w:val="•"/>
      <w:lvlJc w:val="left"/>
      <w:pPr>
        <w:tabs>
          <w:tab w:val="num" w:pos="1440"/>
        </w:tabs>
        <w:ind w:left="1440" w:hanging="360"/>
      </w:pPr>
      <w:rPr>
        <w:rFonts w:ascii="Arial" w:hAnsi="Arial" w:hint="default"/>
      </w:rPr>
    </w:lvl>
    <w:lvl w:ilvl="2" w:tplc="887EF282">
      <w:numFmt w:val="bullet"/>
      <w:lvlText w:val="•"/>
      <w:lvlJc w:val="left"/>
      <w:pPr>
        <w:tabs>
          <w:tab w:val="num" w:pos="2160"/>
        </w:tabs>
        <w:ind w:left="2160" w:hanging="360"/>
      </w:pPr>
      <w:rPr>
        <w:rFonts w:ascii="Arial" w:hAnsi="Arial" w:hint="default"/>
      </w:rPr>
    </w:lvl>
    <w:lvl w:ilvl="3" w:tplc="FBB2918C" w:tentative="1">
      <w:start w:val="1"/>
      <w:numFmt w:val="bullet"/>
      <w:lvlText w:val="•"/>
      <w:lvlJc w:val="left"/>
      <w:pPr>
        <w:tabs>
          <w:tab w:val="num" w:pos="2880"/>
        </w:tabs>
        <w:ind w:left="2880" w:hanging="360"/>
      </w:pPr>
      <w:rPr>
        <w:rFonts w:ascii="Arial" w:hAnsi="Arial" w:hint="default"/>
      </w:rPr>
    </w:lvl>
    <w:lvl w:ilvl="4" w:tplc="27B01386" w:tentative="1">
      <w:start w:val="1"/>
      <w:numFmt w:val="bullet"/>
      <w:lvlText w:val="•"/>
      <w:lvlJc w:val="left"/>
      <w:pPr>
        <w:tabs>
          <w:tab w:val="num" w:pos="3600"/>
        </w:tabs>
        <w:ind w:left="3600" w:hanging="360"/>
      </w:pPr>
      <w:rPr>
        <w:rFonts w:ascii="Arial" w:hAnsi="Arial" w:hint="default"/>
      </w:rPr>
    </w:lvl>
    <w:lvl w:ilvl="5" w:tplc="5B2AF01E" w:tentative="1">
      <w:start w:val="1"/>
      <w:numFmt w:val="bullet"/>
      <w:lvlText w:val="•"/>
      <w:lvlJc w:val="left"/>
      <w:pPr>
        <w:tabs>
          <w:tab w:val="num" w:pos="4320"/>
        </w:tabs>
        <w:ind w:left="4320" w:hanging="360"/>
      </w:pPr>
      <w:rPr>
        <w:rFonts w:ascii="Arial" w:hAnsi="Arial" w:hint="default"/>
      </w:rPr>
    </w:lvl>
    <w:lvl w:ilvl="6" w:tplc="60A04490" w:tentative="1">
      <w:start w:val="1"/>
      <w:numFmt w:val="bullet"/>
      <w:lvlText w:val="•"/>
      <w:lvlJc w:val="left"/>
      <w:pPr>
        <w:tabs>
          <w:tab w:val="num" w:pos="5040"/>
        </w:tabs>
        <w:ind w:left="5040" w:hanging="360"/>
      </w:pPr>
      <w:rPr>
        <w:rFonts w:ascii="Arial" w:hAnsi="Arial" w:hint="default"/>
      </w:rPr>
    </w:lvl>
    <w:lvl w:ilvl="7" w:tplc="BAB4FFEE" w:tentative="1">
      <w:start w:val="1"/>
      <w:numFmt w:val="bullet"/>
      <w:lvlText w:val="•"/>
      <w:lvlJc w:val="left"/>
      <w:pPr>
        <w:tabs>
          <w:tab w:val="num" w:pos="5760"/>
        </w:tabs>
        <w:ind w:left="5760" w:hanging="360"/>
      </w:pPr>
      <w:rPr>
        <w:rFonts w:ascii="Arial" w:hAnsi="Arial" w:hint="default"/>
      </w:rPr>
    </w:lvl>
    <w:lvl w:ilvl="8" w:tplc="E9641D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03A54"/>
    <w:multiLevelType w:val="multilevel"/>
    <w:tmpl w:val="22D03A54"/>
    <w:lvl w:ilvl="0">
      <w:start w:val="1"/>
      <w:numFmt w:val="bullet"/>
      <w:pStyle w:val="RAN4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F3F2DB4"/>
    <w:multiLevelType w:val="hybridMultilevel"/>
    <w:tmpl w:val="FEB4D302"/>
    <w:lvl w:ilvl="0" w:tplc="D4FEC05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41B22DE"/>
    <w:multiLevelType w:val="hybridMultilevel"/>
    <w:tmpl w:val="A76E9DA6"/>
    <w:lvl w:ilvl="0" w:tplc="040B0011">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180"/>
      </w:pPr>
      <w:rPr>
        <w:rFonts w:ascii="Courier New" w:hAnsi="Courier New" w:cs="Courier New"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2"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hybridMultilevel"/>
    <w:tmpl w:val="F4389D40"/>
    <w:lvl w:ilvl="0" w:tplc="B9CC6926">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D6E3167"/>
    <w:multiLevelType w:val="hybridMultilevel"/>
    <w:tmpl w:val="7EA28236"/>
    <w:lvl w:ilvl="0" w:tplc="D316A84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8F52B1"/>
    <w:multiLevelType w:val="hybridMultilevel"/>
    <w:tmpl w:val="507620DA"/>
    <w:lvl w:ilvl="0" w:tplc="A6C8C7DA">
      <w:start w:val="1"/>
      <w:numFmt w:val="bullet"/>
      <w:lvlText w:val="•"/>
      <w:lvlJc w:val="left"/>
      <w:pPr>
        <w:tabs>
          <w:tab w:val="num" w:pos="720"/>
        </w:tabs>
        <w:ind w:left="720" w:hanging="360"/>
      </w:pPr>
      <w:rPr>
        <w:rFonts w:ascii="Arial" w:hAnsi="Arial" w:hint="default"/>
      </w:rPr>
    </w:lvl>
    <w:lvl w:ilvl="1" w:tplc="6D5A85E6">
      <w:numFmt w:val="bullet"/>
      <w:lvlText w:val="•"/>
      <w:lvlJc w:val="left"/>
      <w:pPr>
        <w:tabs>
          <w:tab w:val="num" w:pos="1440"/>
        </w:tabs>
        <w:ind w:left="1440" w:hanging="360"/>
      </w:pPr>
      <w:rPr>
        <w:rFonts w:ascii="Arial" w:hAnsi="Arial" w:hint="default"/>
      </w:rPr>
    </w:lvl>
    <w:lvl w:ilvl="2" w:tplc="46FC8512">
      <w:start w:val="1"/>
      <w:numFmt w:val="bullet"/>
      <w:lvlText w:val="•"/>
      <w:lvlJc w:val="left"/>
      <w:pPr>
        <w:tabs>
          <w:tab w:val="num" w:pos="2160"/>
        </w:tabs>
        <w:ind w:left="2160" w:hanging="360"/>
      </w:pPr>
      <w:rPr>
        <w:rFonts w:ascii="Arial" w:hAnsi="Arial" w:hint="default"/>
      </w:rPr>
    </w:lvl>
    <w:lvl w:ilvl="3" w:tplc="A7D2C5A0" w:tentative="1">
      <w:start w:val="1"/>
      <w:numFmt w:val="bullet"/>
      <w:lvlText w:val="•"/>
      <w:lvlJc w:val="left"/>
      <w:pPr>
        <w:tabs>
          <w:tab w:val="num" w:pos="2880"/>
        </w:tabs>
        <w:ind w:left="2880" w:hanging="360"/>
      </w:pPr>
      <w:rPr>
        <w:rFonts w:ascii="Arial" w:hAnsi="Arial" w:hint="default"/>
      </w:rPr>
    </w:lvl>
    <w:lvl w:ilvl="4" w:tplc="0B586F26" w:tentative="1">
      <w:start w:val="1"/>
      <w:numFmt w:val="bullet"/>
      <w:lvlText w:val="•"/>
      <w:lvlJc w:val="left"/>
      <w:pPr>
        <w:tabs>
          <w:tab w:val="num" w:pos="3600"/>
        </w:tabs>
        <w:ind w:left="3600" w:hanging="360"/>
      </w:pPr>
      <w:rPr>
        <w:rFonts w:ascii="Arial" w:hAnsi="Arial" w:hint="default"/>
      </w:rPr>
    </w:lvl>
    <w:lvl w:ilvl="5" w:tplc="90B61AC0" w:tentative="1">
      <w:start w:val="1"/>
      <w:numFmt w:val="bullet"/>
      <w:lvlText w:val="•"/>
      <w:lvlJc w:val="left"/>
      <w:pPr>
        <w:tabs>
          <w:tab w:val="num" w:pos="4320"/>
        </w:tabs>
        <w:ind w:left="4320" w:hanging="360"/>
      </w:pPr>
      <w:rPr>
        <w:rFonts w:ascii="Arial" w:hAnsi="Arial" w:hint="default"/>
      </w:rPr>
    </w:lvl>
    <w:lvl w:ilvl="6" w:tplc="803C09C6" w:tentative="1">
      <w:start w:val="1"/>
      <w:numFmt w:val="bullet"/>
      <w:lvlText w:val="•"/>
      <w:lvlJc w:val="left"/>
      <w:pPr>
        <w:tabs>
          <w:tab w:val="num" w:pos="5040"/>
        </w:tabs>
        <w:ind w:left="5040" w:hanging="360"/>
      </w:pPr>
      <w:rPr>
        <w:rFonts w:ascii="Arial" w:hAnsi="Arial" w:hint="default"/>
      </w:rPr>
    </w:lvl>
    <w:lvl w:ilvl="7" w:tplc="339E95C6" w:tentative="1">
      <w:start w:val="1"/>
      <w:numFmt w:val="bullet"/>
      <w:lvlText w:val="•"/>
      <w:lvlJc w:val="left"/>
      <w:pPr>
        <w:tabs>
          <w:tab w:val="num" w:pos="5760"/>
        </w:tabs>
        <w:ind w:left="5760" w:hanging="360"/>
      </w:pPr>
      <w:rPr>
        <w:rFonts w:ascii="Arial" w:hAnsi="Arial" w:hint="default"/>
      </w:rPr>
    </w:lvl>
    <w:lvl w:ilvl="8" w:tplc="7AC66E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6EA681E"/>
    <w:multiLevelType w:val="hybridMultilevel"/>
    <w:tmpl w:val="B9FC7A2E"/>
    <w:lvl w:ilvl="0" w:tplc="7E20F16E">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BBD7558"/>
    <w:multiLevelType w:val="hybridMultilevel"/>
    <w:tmpl w:val="AE72D78E"/>
    <w:lvl w:ilvl="0" w:tplc="6FE4FDD6">
      <w:start w:val="2"/>
      <w:numFmt w:val="bullet"/>
      <w:lvlText w:val=""/>
      <w:lvlJc w:val="left"/>
      <w:pPr>
        <w:ind w:left="1080" w:hanging="360"/>
      </w:pPr>
      <w:rPr>
        <w:rFonts w:ascii="Wingdings" w:eastAsia="MS Mincho" w:hAnsi="Wingdings"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5" w15:restartNumberingAfterBreak="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7" w15:restartNumberingAfterBreak="0">
    <w:nsid w:val="7BFE15F8"/>
    <w:multiLevelType w:val="hybridMultilevel"/>
    <w:tmpl w:val="63B0CF26"/>
    <w:lvl w:ilvl="0" w:tplc="8070BD80">
      <w:start w:val="1"/>
      <w:numFmt w:val="bullet"/>
      <w:lvlText w:val="-"/>
      <w:lvlJc w:val="left"/>
      <w:pPr>
        <w:ind w:left="1496" w:hanging="360"/>
      </w:pPr>
      <w:rPr>
        <w:rFonts w:ascii="Calibri" w:eastAsia="DengXian" w:hAnsi="Calibri" w:cs="Calibri" w:hint="default"/>
        <w:color w:val="00B050"/>
        <w:sz w:val="22"/>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num w:numId="1">
    <w:abstractNumId w:val="13"/>
  </w:num>
  <w:num w:numId="2">
    <w:abstractNumId w:val="8"/>
  </w:num>
  <w:num w:numId="3">
    <w:abstractNumId w:val="6"/>
  </w:num>
  <w:num w:numId="4">
    <w:abstractNumId w:val="18"/>
  </w:num>
  <w:num w:numId="5">
    <w:abstractNumId w:val="15"/>
  </w:num>
  <w:num w:numId="6">
    <w:abstractNumId w:val="2"/>
  </w:num>
  <w:num w:numId="7">
    <w:abstractNumId w:val="9"/>
  </w:num>
  <w:num w:numId="8">
    <w:abstractNumId w:val="22"/>
  </w:num>
  <w:num w:numId="9">
    <w:abstractNumId w:val="20"/>
  </w:num>
  <w:num w:numId="10">
    <w:abstractNumId w:val="5"/>
  </w:num>
  <w:num w:numId="11">
    <w:abstractNumId w:val="23"/>
  </w:num>
  <w:num w:numId="12">
    <w:abstractNumId w:val="17"/>
  </w:num>
  <w:num w:numId="13">
    <w:abstractNumId w:val="26"/>
  </w:num>
  <w:num w:numId="14">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19"/>
  </w:num>
  <w:num w:numId="18">
    <w:abstractNumId w:val="0"/>
  </w:num>
  <w:num w:numId="19">
    <w:abstractNumId w:val="27"/>
  </w:num>
  <w:num w:numId="20">
    <w:abstractNumId w:val="12"/>
  </w:num>
  <w:num w:numId="21">
    <w:abstractNumId w:val="21"/>
  </w:num>
  <w:num w:numId="22">
    <w:abstractNumId w:val="24"/>
  </w:num>
  <w:num w:numId="23">
    <w:abstractNumId w:val="16"/>
  </w:num>
  <w:num w:numId="24">
    <w:abstractNumId w:val="14"/>
  </w:num>
  <w:num w:numId="25">
    <w:abstractNumId w:val="3"/>
  </w:num>
  <w:num w:numId="26">
    <w:abstractNumId w:val="1"/>
  </w:num>
  <w:num w:numId="27">
    <w:abstractNumId w:val="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B28"/>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1FEF"/>
    <w:rsid w:val="00072E71"/>
    <w:rsid w:val="0007382E"/>
    <w:rsid w:val="0007498A"/>
    <w:rsid w:val="000766E1"/>
    <w:rsid w:val="00077FF6"/>
    <w:rsid w:val="00080D82"/>
    <w:rsid w:val="00081692"/>
    <w:rsid w:val="000823A1"/>
    <w:rsid w:val="00082C46"/>
    <w:rsid w:val="0008381E"/>
    <w:rsid w:val="00084B60"/>
    <w:rsid w:val="00085A0E"/>
    <w:rsid w:val="000862F4"/>
    <w:rsid w:val="00087548"/>
    <w:rsid w:val="00093E7E"/>
    <w:rsid w:val="000A1830"/>
    <w:rsid w:val="000A2D33"/>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C6814"/>
    <w:rsid w:val="000D09FD"/>
    <w:rsid w:val="000D426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18AD"/>
    <w:rsid w:val="0014294C"/>
    <w:rsid w:val="00142BB9"/>
    <w:rsid w:val="00144F96"/>
    <w:rsid w:val="00145213"/>
    <w:rsid w:val="0014736E"/>
    <w:rsid w:val="00151EAC"/>
    <w:rsid w:val="00153528"/>
    <w:rsid w:val="00154E68"/>
    <w:rsid w:val="00157F6E"/>
    <w:rsid w:val="0016172A"/>
    <w:rsid w:val="00161BE7"/>
    <w:rsid w:val="00161DB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44E08"/>
    <w:rsid w:val="00252DB8"/>
    <w:rsid w:val="002537BC"/>
    <w:rsid w:val="002556F8"/>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33A1"/>
    <w:rsid w:val="002B516C"/>
    <w:rsid w:val="002B5C6E"/>
    <w:rsid w:val="002B5D6C"/>
    <w:rsid w:val="002B5E1D"/>
    <w:rsid w:val="002B60C1"/>
    <w:rsid w:val="002B75A4"/>
    <w:rsid w:val="002C0040"/>
    <w:rsid w:val="002C0D0A"/>
    <w:rsid w:val="002C23F3"/>
    <w:rsid w:val="002C4B52"/>
    <w:rsid w:val="002D03E5"/>
    <w:rsid w:val="002D225F"/>
    <w:rsid w:val="002D36EB"/>
    <w:rsid w:val="002D4B2E"/>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54D3"/>
    <w:rsid w:val="00336697"/>
    <w:rsid w:val="003418CB"/>
    <w:rsid w:val="00344713"/>
    <w:rsid w:val="00346609"/>
    <w:rsid w:val="00347189"/>
    <w:rsid w:val="0035138F"/>
    <w:rsid w:val="00351539"/>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1B62"/>
    <w:rsid w:val="00402853"/>
    <w:rsid w:val="00403401"/>
    <w:rsid w:val="00404831"/>
    <w:rsid w:val="004057A0"/>
    <w:rsid w:val="00407661"/>
    <w:rsid w:val="00410314"/>
    <w:rsid w:val="00412063"/>
    <w:rsid w:val="00412EB1"/>
    <w:rsid w:val="00413DDE"/>
    <w:rsid w:val="00414118"/>
    <w:rsid w:val="00416084"/>
    <w:rsid w:val="0042499C"/>
    <w:rsid w:val="00424D6F"/>
    <w:rsid w:val="00424F8C"/>
    <w:rsid w:val="004271BA"/>
    <w:rsid w:val="00427359"/>
    <w:rsid w:val="00430497"/>
    <w:rsid w:val="0043370C"/>
    <w:rsid w:val="00434AAB"/>
    <w:rsid w:val="00434DC1"/>
    <w:rsid w:val="004350F4"/>
    <w:rsid w:val="004412A0"/>
    <w:rsid w:val="00442417"/>
    <w:rsid w:val="004444CB"/>
    <w:rsid w:val="00446408"/>
    <w:rsid w:val="0044722C"/>
    <w:rsid w:val="004501AC"/>
    <w:rsid w:val="00450F27"/>
    <w:rsid w:val="004510E5"/>
    <w:rsid w:val="00455179"/>
    <w:rsid w:val="00456A75"/>
    <w:rsid w:val="00461E39"/>
    <w:rsid w:val="004623A7"/>
    <w:rsid w:val="00462D3A"/>
    <w:rsid w:val="00463521"/>
    <w:rsid w:val="004635F9"/>
    <w:rsid w:val="004644FC"/>
    <w:rsid w:val="00464D3B"/>
    <w:rsid w:val="00471125"/>
    <w:rsid w:val="0047437A"/>
    <w:rsid w:val="004809D6"/>
    <w:rsid w:val="00480E42"/>
    <w:rsid w:val="00484C5D"/>
    <w:rsid w:val="0048543E"/>
    <w:rsid w:val="004868C1"/>
    <w:rsid w:val="0048750F"/>
    <w:rsid w:val="00487F35"/>
    <w:rsid w:val="00491C2B"/>
    <w:rsid w:val="004A0B4D"/>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3622"/>
    <w:rsid w:val="004F613B"/>
    <w:rsid w:val="004F6342"/>
    <w:rsid w:val="004F79DB"/>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2DF"/>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3291"/>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2ADD"/>
    <w:rsid w:val="00654067"/>
    <w:rsid w:val="00654FA3"/>
    <w:rsid w:val="0065505B"/>
    <w:rsid w:val="00655495"/>
    <w:rsid w:val="00656EE7"/>
    <w:rsid w:val="00657598"/>
    <w:rsid w:val="00660381"/>
    <w:rsid w:val="00660482"/>
    <w:rsid w:val="00665B63"/>
    <w:rsid w:val="006670AC"/>
    <w:rsid w:val="00672307"/>
    <w:rsid w:val="00675A7F"/>
    <w:rsid w:val="006808C6"/>
    <w:rsid w:val="00682668"/>
    <w:rsid w:val="00684F66"/>
    <w:rsid w:val="00692A68"/>
    <w:rsid w:val="00692EC2"/>
    <w:rsid w:val="00695D85"/>
    <w:rsid w:val="006A30A2"/>
    <w:rsid w:val="006A6D23"/>
    <w:rsid w:val="006B25DE"/>
    <w:rsid w:val="006C0629"/>
    <w:rsid w:val="006C0ED6"/>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7C98"/>
    <w:rsid w:val="0076121E"/>
    <w:rsid w:val="00761E6F"/>
    <w:rsid w:val="00763594"/>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567"/>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5DDC"/>
    <w:rsid w:val="007F7A5A"/>
    <w:rsid w:val="00805BE8"/>
    <w:rsid w:val="00814E74"/>
    <w:rsid w:val="00816078"/>
    <w:rsid w:val="008177E3"/>
    <w:rsid w:val="00823A85"/>
    <w:rsid w:val="00823AA9"/>
    <w:rsid w:val="00825586"/>
    <w:rsid w:val="008255B9"/>
    <w:rsid w:val="00825CD8"/>
    <w:rsid w:val="00827324"/>
    <w:rsid w:val="00827FA9"/>
    <w:rsid w:val="00830D60"/>
    <w:rsid w:val="00837458"/>
    <w:rsid w:val="00837AAE"/>
    <w:rsid w:val="008429AD"/>
    <w:rsid w:val="008429DB"/>
    <w:rsid w:val="008437A4"/>
    <w:rsid w:val="00850C75"/>
    <w:rsid w:val="00850E39"/>
    <w:rsid w:val="00850FDB"/>
    <w:rsid w:val="00851E7B"/>
    <w:rsid w:val="00852621"/>
    <w:rsid w:val="00853723"/>
    <w:rsid w:val="0085477A"/>
    <w:rsid w:val="00855107"/>
    <w:rsid w:val="00855173"/>
    <w:rsid w:val="008557D9"/>
    <w:rsid w:val="00855BF7"/>
    <w:rsid w:val="00856214"/>
    <w:rsid w:val="00857919"/>
    <w:rsid w:val="00862089"/>
    <w:rsid w:val="00866D5B"/>
    <w:rsid w:val="00866FF5"/>
    <w:rsid w:val="00873E1F"/>
    <w:rsid w:val="00873F4D"/>
    <w:rsid w:val="00874C16"/>
    <w:rsid w:val="0087532C"/>
    <w:rsid w:val="00877019"/>
    <w:rsid w:val="00886D1F"/>
    <w:rsid w:val="00886E7C"/>
    <w:rsid w:val="00891EE1"/>
    <w:rsid w:val="00892D36"/>
    <w:rsid w:val="00893987"/>
    <w:rsid w:val="008963EF"/>
    <w:rsid w:val="0089688E"/>
    <w:rsid w:val="00897C55"/>
    <w:rsid w:val="008A09A0"/>
    <w:rsid w:val="008A1FBE"/>
    <w:rsid w:val="008B1801"/>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2DEE"/>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0240"/>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07F"/>
    <w:rsid w:val="009A130F"/>
    <w:rsid w:val="009A1DBF"/>
    <w:rsid w:val="009A68E6"/>
    <w:rsid w:val="009A7598"/>
    <w:rsid w:val="009B1DF8"/>
    <w:rsid w:val="009B3D20"/>
    <w:rsid w:val="009B5418"/>
    <w:rsid w:val="009B57D2"/>
    <w:rsid w:val="009B6070"/>
    <w:rsid w:val="009B66B1"/>
    <w:rsid w:val="009C0727"/>
    <w:rsid w:val="009C0DD4"/>
    <w:rsid w:val="009C1980"/>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397F"/>
    <w:rsid w:val="00A1570A"/>
    <w:rsid w:val="00A211B4"/>
    <w:rsid w:val="00A215F9"/>
    <w:rsid w:val="00A22BD2"/>
    <w:rsid w:val="00A235FE"/>
    <w:rsid w:val="00A33DDF"/>
    <w:rsid w:val="00A34547"/>
    <w:rsid w:val="00A376B7"/>
    <w:rsid w:val="00A37F07"/>
    <w:rsid w:val="00A412FF"/>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206B"/>
    <w:rsid w:val="00AB4182"/>
    <w:rsid w:val="00AB4810"/>
    <w:rsid w:val="00AB78BA"/>
    <w:rsid w:val="00AC1605"/>
    <w:rsid w:val="00AC27DB"/>
    <w:rsid w:val="00AC2FD5"/>
    <w:rsid w:val="00AC6D6B"/>
    <w:rsid w:val="00AD3F71"/>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4508"/>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964A4"/>
    <w:rsid w:val="00BA084C"/>
    <w:rsid w:val="00BA1B29"/>
    <w:rsid w:val="00BA259A"/>
    <w:rsid w:val="00BA259C"/>
    <w:rsid w:val="00BA29D3"/>
    <w:rsid w:val="00BA307F"/>
    <w:rsid w:val="00BA37F5"/>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4162"/>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4725"/>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90D"/>
    <w:rsid w:val="00CB33C7"/>
    <w:rsid w:val="00CB5028"/>
    <w:rsid w:val="00CB6DA7"/>
    <w:rsid w:val="00CB7E4C"/>
    <w:rsid w:val="00CC1311"/>
    <w:rsid w:val="00CC25B4"/>
    <w:rsid w:val="00CC5F88"/>
    <w:rsid w:val="00CC69C8"/>
    <w:rsid w:val="00CC6CD7"/>
    <w:rsid w:val="00CC77A2"/>
    <w:rsid w:val="00CD035D"/>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704"/>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0832"/>
    <w:rsid w:val="00D91A25"/>
    <w:rsid w:val="00D9735F"/>
    <w:rsid w:val="00D97F0C"/>
    <w:rsid w:val="00DA3A86"/>
    <w:rsid w:val="00DA47DA"/>
    <w:rsid w:val="00DA7FB9"/>
    <w:rsid w:val="00DB04C0"/>
    <w:rsid w:val="00DC2500"/>
    <w:rsid w:val="00DC3363"/>
    <w:rsid w:val="00DC711F"/>
    <w:rsid w:val="00DC77DC"/>
    <w:rsid w:val="00DD0453"/>
    <w:rsid w:val="00DD075C"/>
    <w:rsid w:val="00DD0C2C"/>
    <w:rsid w:val="00DD19DE"/>
    <w:rsid w:val="00DD2326"/>
    <w:rsid w:val="00DD28BC"/>
    <w:rsid w:val="00DD2970"/>
    <w:rsid w:val="00DD770C"/>
    <w:rsid w:val="00DE16FC"/>
    <w:rsid w:val="00DE1AD5"/>
    <w:rsid w:val="00DE29D9"/>
    <w:rsid w:val="00DE31F0"/>
    <w:rsid w:val="00DE3D1C"/>
    <w:rsid w:val="00DE47BB"/>
    <w:rsid w:val="00DF05D1"/>
    <w:rsid w:val="00DF317C"/>
    <w:rsid w:val="00DF6D92"/>
    <w:rsid w:val="00E01059"/>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0B68"/>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6E7C"/>
    <w:rsid w:val="00E97AD5"/>
    <w:rsid w:val="00EA1111"/>
    <w:rsid w:val="00EA1DE6"/>
    <w:rsid w:val="00EA2148"/>
    <w:rsid w:val="00EA3B4F"/>
    <w:rsid w:val="00EA3C24"/>
    <w:rsid w:val="00EA67E2"/>
    <w:rsid w:val="00EA73DF"/>
    <w:rsid w:val="00EB61AE"/>
    <w:rsid w:val="00EC322D"/>
    <w:rsid w:val="00EC34B7"/>
    <w:rsid w:val="00EC57AB"/>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4614"/>
    <w:rsid w:val="00F35516"/>
    <w:rsid w:val="00F35790"/>
    <w:rsid w:val="00F408E0"/>
    <w:rsid w:val="00F40D70"/>
    <w:rsid w:val="00F4136D"/>
    <w:rsid w:val="00F4212E"/>
    <w:rsid w:val="00F42C20"/>
    <w:rsid w:val="00F43B39"/>
    <w:rsid w:val="00F43E34"/>
    <w:rsid w:val="00F46D37"/>
    <w:rsid w:val="00F53053"/>
    <w:rsid w:val="00F53FE2"/>
    <w:rsid w:val="00F544EE"/>
    <w:rsid w:val="00F575FF"/>
    <w:rsid w:val="00F602B0"/>
    <w:rsid w:val="00F60878"/>
    <w:rsid w:val="00F618EF"/>
    <w:rsid w:val="00F65582"/>
    <w:rsid w:val="00F66C03"/>
    <w:rsid w:val="00F66E75"/>
    <w:rsid w:val="00F756FA"/>
    <w:rsid w:val="00F7617E"/>
    <w:rsid w:val="00F77EB0"/>
    <w:rsid w:val="00F801B8"/>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1D91"/>
    <w:rsid w:val="00FB38D8"/>
    <w:rsid w:val="00FB3DDD"/>
    <w:rsid w:val="00FB73E7"/>
    <w:rsid w:val="00FC051F"/>
    <w:rsid w:val="00FC06FF"/>
    <w:rsid w:val="00FC2D66"/>
    <w:rsid w:val="00FC370E"/>
    <w:rsid w:val="00FC4BA4"/>
    <w:rsid w:val="00FC69B4"/>
    <w:rsid w:val="00FD0694"/>
    <w:rsid w:val="00FD25BE"/>
    <w:rsid w:val="00FD2E70"/>
    <w:rsid w:val="00FD5A2B"/>
    <w:rsid w:val="00FD6722"/>
    <w:rsid w:val="00FD73BE"/>
    <w:rsid w:val="00FD7AA7"/>
    <w:rsid w:val="00FE10AA"/>
    <w:rsid w:val="00FE54F4"/>
    <w:rsid w:val="00FE656A"/>
    <w:rsid w:val="00FE7371"/>
    <w:rsid w:val="00FF0664"/>
    <w:rsid w:val="00FF1FCB"/>
    <w:rsid w:val="00FF3A63"/>
    <w:rsid w:val="00FF52D4"/>
    <w:rsid w:val="00FF6AA4"/>
    <w:rsid w:val="00FF6B09"/>
    <w:rsid w:val="0D8608EC"/>
    <w:rsid w:val="1B128DAF"/>
    <w:rsid w:val="30CDB06C"/>
    <w:rsid w:val="39637F43"/>
    <w:rsid w:val="51A72093"/>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customStyle="1" w:styleId="RAN4proposal">
    <w:name w:val="RAN4 proposal"/>
    <w:basedOn w:val="Caption"/>
    <w:next w:val="Normal"/>
    <w:link w:val="RAN4proposalChar"/>
    <w:qFormat/>
    <w:rsid w:val="001418AD"/>
    <w:pPr>
      <w:numPr>
        <w:numId w:val="23"/>
      </w:numPr>
      <w:spacing w:before="0" w:after="200"/>
      <w:ind w:left="0" w:firstLine="0"/>
    </w:pPr>
    <w:rPr>
      <w:rFonts w:eastAsiaTheme="minorHAnsi" w:cstheme="minorBidi"/>
      <w:iCs/>
      <w:szCs w:val="18"/>
    </w:rPr>
  </w:style>
  <w:style w:type="character" w:customStyle="1" w:styleId="RAN4proposalChar">
    <w:name w:val="RAN4 proposal Char"/>
    <w:basedOn w:val="CaptionChar"/>
    <w:link w:val="RAN4proposal"/>
    <w:rsid w:val="001418AD"/>
    <w:rPr>
      <w:rFonts w:eastAsiaTheme="minorHAnsi" w:cstheme="minorBidi"/>
      <w:b/>
      <w:iCs/>
      <w:szCs w:val="18"/>
      <w:lang w:val="en-GB" w:eastAsia="en-US"/>
    </w:rPr>
  </w:style>
  <w:style w:type="paragraph" w:customStyle="1" w:styleId="RAN4Observation0">
    <w:name w:val="RAN4 Observation"/>
    <w:basedOn w:val="Normal"/>
    <w:next w:val="Normal"/>
    <w:rsid w:val="001418AD"/>
    <w:pPr>
      <w:numPr>
        <w:numId w:val="24"/>
      </w:numPr>
      <w:spacing w:after="160" w:line="259" w:lineRule="auto"/>
      <w:contextualSpacing/>
    </w:pPr>
    <w:rPr>
      <w:rFonts w:eastAsia="Calibri"/>
    </w:rPr>
  </w:style>
  <w:style w:type="paragraph" w:customStyle="1" w:styleId="RAN4observation">
    <w:name w:val="RAN4 observation"/>
    <w:basedOn w:val="Normal"/>
    <w:next w:val="Normal"/>
    <w:link w:val="RAN4observationChar"/>
    <w:qFormat/>
    <w:rsid w:val="001418AD"/>
    <w:pPr>
      <w:numPr>
        <w:numId w:val="2"/>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rsid w:val="001418AD"/>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36175">
      <w:bodyDiv w:val="1"/>
      <w:marLeft w:val="0"/>
      <w:marRight w:val="0"/>
      <w:marTop w:val="0"/>
      <w:marBottom w:val="0"/>
      <w:divBdr>
        <w:top w:val="none" w:sz="0" w:space="0" w:color="auto"/>
        <w:left w:val="none" w:sz="0" w:space="0" w:color="auto"/>
        <w:bottom w:val="none" w:sz="0" w:space="0" w:color="auto"/>
        <w:right w:val="none" w:sz="0" w:space="0" w:color="auto"/>
      </w:divBdr>
    </w:div>
    <w:div w:id="256331709">
      <w:bodyDiv w:val="1"/>
      <w:marLeft w:val="0"/>
      <w:marRight w:val="0"/>
      <w:marTop w:val="0"/>
      <w:marBottom w:val="0"/>
      <w:divBdr>
        <w:top w:val="none" w:sz="0" w:space="0" w:color="auto"/>
        <w:left w:val="none" w:sz="0" w:space="0" w:color="auto"/>
        <w:bottom w:val="none" w:sz="0" w:space="0" w:color="auto"/>
        <w:right w:val="none" w:sz="0" w:space="0" w:color="auto"/>
      </w:divBdr>
    </w:div>
    <w:div w:id="398985620">
      <w:bodyDiv w:val="1"/>
      <w:marLeft w:val="0"/>
      <w:marRight w:val="0"/>
      <w:marTop w:val="0"/>
      <w:marBottom w:val="0"/>
      <w:divBdr>
        <w:top w:val="none" w:sz="0" w:space="0" w:color="auto"/>
        <w:left w:val="none" w:sz="0" w:space="0" w:color="auto"/>
        <w:bottom w:val="none" w:sz="0" w:space="0" w:color="auto"/>
        <w:right w:val="none" w:sz="0" w:space="0" w:color="auto"/>
      </w:divBdr>
    </w:div>
    <w:div w:id="585574585">
      <w:bodyDiv w:val="1"/>
      <w:marLeft w:val="0"/>
      <w:marRight w:val="0"/>
      <w:marTop w:val="0"/>
      <w:marBottom w:val="0"/>
      <w:divBdr>
        <w:top w:val="none" w:sz="0" w:space="0" w:color="auto"/>
        <w:left w:val="none" w:sz="0" w:space="0" w:color="auto"/>
        <w:bottom w:val="none" w:sz="0" w:space="0" w:color="auto"/>
        <w:right w:val="none" w:sz="0" w:space="0" w:color="auto"/>
      </w:divBdr>
      <w:divsChild>
        <w:div w:id="2001351727">
          <w:marLeft w:val="360"/>
          <w:marRight w:val="0"/>
          <w:marTop w:val="200"/>
          <w:marBottom w:val="0"/>
          <w:divBdr>
            <w:top w:val="none" w:sz="0" w:space="0" w:color="auto"/>
            <w:left w:val="none" w:sz="0" w:space="0" w:color="auto"/>
            <w:bottom w:val="none" w:sz="0" w:space="0" w:color="auto"/>
            <w:right w:val="none" w:sz="0" w:space="0" w:color="auto"/>
          </w:divBdr>
        </w:div>
        <w:div w:id="39482064">
          <w:marLeft w:val="1080"/>
          <w:marRight w:val="0"/>
          <w:marTop w:val="100"/>
          <w:marBottom w:val="0"/>
          <w:divBdr>
            <w:top w:val="none" w:sz="0" w:space="0" w:color="auto"/>
            <w:left w:val="none" w:sz="0" w:space="0" w:color="auto"/>
            <w:bottom w:val="none" w:sz="0" w:space="0" w:color="auto"/>
            <w:right w:val="none" w:sz="0" w:space="0" w:color="auto"/>
          </w:divBdr>
        </w:div>
        <w:div w:id="115220619">
          <w:marLeft w:val="360"/>
          <w:marRight w:val="0"/>
          <w:marTop w:val="200"/>
          <w:marBottom w:val="0"/>
          <w:divBdr>
            <w:top w:val="none" w:sz="0" w:space="0" w:color="auto"/>
            <w:left w:val="none" w:sz="0" w:space="0" w:color="auto"/>
            <w:bottom w:val="none" w:sz="0" w:space="0" w:color="auto"/>
            <w:right w:val="none" w:sz="0" w:space="0" w:color="auto"/>
          </w:divBdr>
        </w:div>
        <w:div w:id="221452096">
          <w:marLeft w:val="360"/>
          <w:marRight w:val="0"/>
          <w:marTop w:val="200"/>
          <w:marBottom w:val="0"/>
          <w:divBdr>
            <w:top w:val="none" w:sz="0" w:space="0" w:color="auto"/>
            <w:left w:val="none" w:sz="0" w:space="0" w:color="auto"/>
            <w:bottom w:val="none" w:sz="0" w:space="0" w:color="auto"/>
            <w:right w:val="none" w:sz="0" w:space="0" w:color="auto"/>
          </w:divBdr>
        </w:div>
        <w:div w:id="383876529">
          <w:marLeft w:val="1080"/>
          <w:marRight w:val="0"/>
          <w:marTop w:val="100"/>
          <w:marBottom w:val="0"/>
          <w:divBdr>
            <w:top w:val="none" w:sz="0" w:space="0" w:color="auto"/>
            <w:left w:val="none" w:sz="0" w:space="0" w:color="auto"/>
            <w:bottom w:val="none" w:sz="0" w:space="0" w:color="auto"/>
            <w:right w:val="none" w:sz="0" w:space="0" w:color="auto"/>
          </w:divBdr>
        </w:div>
      </w:divsChild>
    </w:div>
    <w:div w:id="791174800">
      <w:bodyDiv w:val="1"/>
      <w:marLeft w:val="0"/>
      <w:marRight w:val="0"/>
      <w:marTop w:val="0"/>
      <w:marBottom w:val="0"/>
      <w:divBdr>
        <w:top w:val="none" w:sz="0" w:space="0" w:color="auto"/>
        <w:left w:val="none" w:sz="0" w:space="0" w:color="auto"/>
        <w:bottom w:val="none" w:sz="0" w:space="0" w:color="auto"/>
        <w:right w:val="none" w:sz="0" w:space="0" w:color="auto"/>
      </w:divBdr>
    </w:div>
    <w:div w:id="836655654">
      <w:bodyDiv w:val="1"/>
      <w:marLeft w:val="0"/>
      <w:marRight w:val="0"/>
      <w:marTop w:val="0"/>
      <w:marBottom w:val="0"/>
      <w:divBdr>
        <w:top w:val="none" w:sz="0" w:space="0" w:color="auto"/>
        <w:left w:val="none" w:sz="0" w:space="0" w:color="auto"/>
        <w:bottom w:val="none" w:sz="0" w:space="0" w:color="auto"/>
        <w:right w:val="none" w:sz="0" w:space="0" w:color="auto"/>
      </w:divBdr>
      <w:divsChild>
        <w:div w:id="117380306">
          <w:marLeft w:val="547"/>
          <w:marRight w:val="0"/>
          <w:marTop w:val="62"/>
          <w:marBottom w:val="0"/>
          <w:divBdr>
            <w:top w:val="none" w:sz="0" w:space="0" w:color="auto"/>
            <w:left w:val="none" w:sz="0" w:space="0" w:color="auto"/>
            <w:bottom w:val="none" w:sz="0" w:space="0" w:color="auto"/>
            <w:right w:val="none" w:sz="0" w:space="0" w:color="auto"/>
          </w:divBdr>
        </w:div>
        <w:div w:id="1166438825">
          <w:marLeft w:val="547"/>
          <w:marRight w:val="0"/>
          <w:marTop w:val="62"/>
          <w:marBottom w:val="0"/>
          <w:divBdr>
            <w:top w:val="none" w:sz="0" w:space="0" w:color="auto"/>
            <w:left w:val="none" w:sz="0" w:space="0" w:color="auto"/>
            <w:bottom w:val="none" w:sz="0" w:space="0" w:color="auto"/>
            <w:right w:val="none" w:sz="0" w:space="0" w:color="auto"/>
          </w:divBdr>
        </w:div>
        <w:div w:id="1836146168">
          <w:marLeft w:val="1166"/>
          <w:marRight w:val="0"/>
          <w:marTop w:val="62"/>
          <w:marBottom w:val="0"/>
          <w:divBdr>
            <w:top w:val="none" w:sz="0" w:space="0" w:color="auto"/>
            <w:left w:val="none" w:sz="0" w:space="0" w:color="auto"/>
            <w:bottom w:val="none" w:sz="0" w:space="0" w:color="auto"/>
            <w:right w:val="none" w:sz="0" w:space="0" w:color="auto"/>
          </w:divBdr>
        </w:div>
        <w:div w:id="448746739">
          <w:marLeft w:val="1166"/>
          <w:marRight w:val="0"/>
          <w:marTop w:val="62"/>
          <w:marBottom w:val="0"/>
          <w:divBdr>
            <w:top w:val="none" w:sz="0" w:space="0" w:color="auto"/>
            <w:left w:val="none" w:sz="0" w:space="0" w:color="auto"/>
            <w:bottom w:val="none" w:sz="0" w:space="0" w:color="auto"/>
            <w:right w:val="none" w:sz="0" w:space="0" w:color="auto"/>
          </w:divBdr>
        </w:div>
        <w:div w:id="1261182718">
          <w:marLeft w:val="1800"/>
          <w:marRight w:val="0"/>
          <w:marTop w:val="53"/>
          <w:marBottom w:val="0"/>
          <w:divBdr>
            <w:top w:val="none" w:sz="0" w:space="0" w:color="auto"/>
            <w:left w:val="none" w:sz="0" w:space="0" w:color="auto"/>
            <w:bottom w:val="none" w:sz="0" w:space="0" w:color="auto"/>
            <w:right w:val="none" w:sz="0" w:space="0" w:color="auto"/>
          </w:divBdr>
        </w:div>
        <w:div w:id="32198845">
          <w:marLeft w:val="1800"/>
          <w:marRight w:val="0"/>
          <w:marTop w:val="53"/>
          <w:marBottom w:val="0"/>
          <w:divBdr>
            <w:top w:val="none" w:sz="0" w:space="0" w:color="auto"/>
            <w:left w:val="none" w:sz="0" w:space="0" w:color="auto"/>
            <w:bottom w:val="none" w:sz="0" w:space="0" w:color="auto"/>
            <w:right w:val="none" w:sz="0" w:space="0" w:color="auto"/>
          </w:divBdr>
        </w:div>
        <w:div w:id="2017685883">
          <w:marLeft w:val="1166"/>
          <w:marRight w:val="0"/>
          <w:marTop w:val="62"/>
          <w:marBottom w:val="0"/>
          <w:divBdr>
            <w:top w:val="none" w:sz="0" w:space="0" w:color="auto"/>
            <w:left w:val="none" w:sz="0" w:space="0" w:color="auto"/>
            <w:bottom w:val="none" w:sz="0" w:space="0" w:color="auto"/>
            <w:right w:val="none" w:sz="0" w:space="0" w:color="auto"/>
          </w:divBdr>
        </w:div>
        <w:div w:id="1417555083">
          <w:marLeft w:val="1800"/>
          <w:marRight w:val="0"/>
          <w:marTop w:val="53"/>
          <w:marBottom w:val="0"/>
          <w:divBdr>
            <w:top w:val="none" w:sz="0" w:space="0" w:color="auto"/>
            <w:left w:val="none" w:sz="0" w:space="0" w:color="auto"/>
            <w:bottom w:val="none" w:sz="0" w:space="0" w:color="auto"/>
            <w:right w:val="none" w:sz="0" w:space="0" w:color="auto"/>
          </w:divBdr>
        </w:div>
        <w:div w:id="1439445570">
          <w:marLeft w:val="1800"/>
          <w:marRight w:val="0"/>
          <w:marTop w:val="53"/>
          <w:marBottom w:val="0"/>
          <w:divBdr>
            <w:top w:val="none" w:sz="0" w:space="0" w:color="auto"/>
            <w:left w:val="none" w:sz="0" w:space="0" w:color="auto"/>
            <w:bottom w:val="none" w:sz="0" w:space="0" w:color="auto"/>
            <w:right w:val="none" w:sz="0" w:space="0" w:color="auto"/>
          </w:divBdr>
        </w:div>
        <w:div w:id="667292394">
          <w:marLeft w:val="1166"/>
          <w:marRight w:val="0"/>
          <w:marTop w:val="62"/>
          <w:marBottom w:val="0"/>
          <w:divBdr>
            <w:top w:val="none" w:sz="0" w:space="0" w:color="auto"/>
            <w:left w:val="none" w:sz="0" w:space="0" w:color="auto"/>
            <w:bottom w:val="none" w:sz="0" w:space="0" w:color="auto"/>
            <w:right w:val="none" w:sz="0" w:space="0" w:color="auto"/>
          </w:divBdr>
        </w:div>
      </w:divsChild>
    </w:div>
    <w:div w:id="1057246385">
      <w:bodyDiv w:val="1"/>
      <w:marLeft w:val="0"/>
      <w:marRight w:val="0"/>
      <w:marTop w:val="0"/>
      <w:marBottom w:val="0"/>
      <w:divBdr>
        <w:top w:val="none" w:sz="0" w:space="0" w:color="auto"/>
        <w:left w:val="none" w:sz="0" w:space="0" w:color="auto"/>
        <w:bottom w:val="none" w:sz="0" w:space="0" w:color="auto"/>
        <w:right w:val="none" w:sz="0" w:space="0" w:color="auto"/>
      </w:divBdr>
    </w:div>
    <w:div w:id="1753239321">
      <w:bodyDiv w:val="1"/>
      <w:marLeft w:val="0"/>
      <w:marRight w:val="0"/>
      <w:marTop w:val="0"/>
      <w:marBottom w:val="0"/>
      <w:divBdr>
        <w:top w:val="none" w:sz="0" w:space="0" w:color="auto"/>
        <w:left w:val="none" w:sz="0" w:space="0" w:color="auto"/>
        <w:bottom w:val="none" w:sz="0" w:space="0" w:color="auto"/>
        <w:right w:val="none" w:sz="0" w:space="0" w:color="auto"/>
      </w:divBdr>
      <w:divsChild>
        <w:div w:id="665792536">
          <w:marLeft w:val="360"/>
          <w:marRight w:val="0"/>
          <w:marTop w:val="200"/>
          <w:marBottom w:val="0"/>
          <w:divBdr>
            <w:top w:val="none" w:sz="0" w:space="0" w:color="auto"/>
            <w:left w:val="none" w:sz="0" w:space="0" w:color="auto"/>
            <w:bottom w:val="none" w:sz="0" w:space="0" w:color="auto"/>
            <w:right w:val="none" w:sz="0" w:space="0" w:color="auto"/>
          </w:divBdr>
        </w:div>
        <w:div w:id="1046947741">
          <w:marLeft w:val="1080"/>
          <w:marRight w:val="0"/>
          <w:marTop w:val="100"/>
          <w:marBottom w:val="0"/>
          <w:divBdr>
            <w:top w:val="none" w:sz="0" w:space="0" w:color="auto"/>
            <w:left w:val="none" w:sz="0" w:space="0" w:color="auto"/>
            <w:bottom w:val="none" w:sz="0" w:space="0" w:color="auto"/>
            <w:right w:val="none" w:sz="0" w:space="0" w:color="auto"/>
          </w:divBdr>
        </w:div>
        <w:div w:id="476260622">
          <w:marLeft w:val="360"/>
          <w:marRight w:val="0"/>
          <w:marTop w:val="200"/>
          <w:marBottom w:val="0"/>
          <w:divBdr>
            <w:top w:val="none" w:sz="0" w:space="0" w:color="auto"/>
            <w:left w:val="none" w:sz="0" w:space="0" w:color="auto"/>
            <w:bottom w:val="none" w:sz="0" w:space="0" w:color="auto"/>
            <w:right w:val="none" w:sz="0" w:space="0" w:color="auto"/>
          </w:divBdr>
        </w:div>
        <w:div w:id="1858229445">
          <w:marLeft w:val="360"/>
          <w:marRight w:val="0"/>
          <w:marTop w:val="200"/>
          <w:marBottom w:val="0"/>
          <w:divBdr>
            <w:top w:val="none" w:sz="0" w:space="0" w:color="auto"/>
            <w:left w:val="none" w:sz="0" w:space="0" w:color="auto"/>
            <w:bottom w:val="none" w:sz="0" w:space="0" w:color="auto"/>
            <w:right w:val="none" w:sz="0" w:space="0" w:color="auto"/>
          </w:divBdr>
        </w:div>
        <w:div w:id="2052223050">
          <w:marLeft w:val="1080"/>
          <w:marRight w:val="0"/>
          <w:marTop w:val="100"/>
          <w:marBottom w:val="0"/>
          <w:divBdr>
            <w:top w:val="none" w:sz="0" w:space="0" w:color="auto"/>
            <w:left w:val="none" w:sz="0" w:space="0" w:color="auto"/>
            <w:bottom w:val="none" w:sz="0" w:space="0" w:color="auto"/>
            <w:right w:val="none" w:sz="0" w:space="0" w:color="auto"/>
          </w:divBdr>
        </w:div>
      </w:divsChild>
    </w:div>
    <w:div w:id="1805199349">
      <w:bodyDiv w:val="1"/>
      <w:marLeft w:val="0"/>
      <w:marRight w:val="0"/>
      <w:marTop w:val="0"/>
      <w:marBottom w:val="0"/>
      <w:divBdr>
        <w:top w:val="none" w:sz="0" w:space="0" w:color="auto"/>
        <w:left w:val="none" w:sz="0" w:space="0" w:color="auto"/>
        <w:bottom w:val="none" w:sz="0" w:space="0" w:color="auto"/>
        <w:right w:val="none" w:sz="0" w:space="0" w:color="auto"/>
      </w:divBdr>
    </w:div>
    <w:div w:id="1967588860">
      <w:bodyDiv w:val="1"/>
      <w:marLeft w:val="0"/>
      <w:marRight w:val="0"/>
      <w:marTop w:val="0"/>
      <w:marBottom w:val="0"/>
      <w:divBdr>
        <w:top w:val="none" w:sz="0" w:space="0" w:color="auto"/>
        <w:left w:val="none" w:sz="0" w:space="0" w:color="auto"/>
        <w:bottom w:val="none" w:sz="0" w:space="0" w:color="auto"/>
        <w:right w:val="none" w:sz="0" w:space="0" w:color="auto"/>
      </w:divBdr>
    </w:div>
    <w:div w:id="2036230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5AIRPNAIUNRU-1328258698-2919</_dlc_DocId>
    <_dlc_DocIdUrl xmlns="71c5aaf6-e6ce-465b-b873-5148d2a4c105">
      <Url>https://nokia.sharepoint.com/sites/c5g/5gradio/_layouts/15/DocIdRedir.aspx?ID=5AIRPNAIUNRU-1328258698-2919</Url>
      <Description>5AIRPNAIUNRU-1328258698-2919</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6F78-4DC7-4C99-9D30-01250D54D34A}">
  <ds:schemaRefs>
    <ds:schemaRef ds:uri="http://schemas.microsoft.com/sharepoint/events"/>
  </ds:schemaRefs>
</ds:datastoreItem>
</file>

<file path=customXml/itemProps2.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B4A5E-DE4E-4FAA-9BA6-F719654D5D87}">
  <ds:schemaRefs>
    <ds:schemaRef ds:uri="Microsoft.SharePoint.Taxonomy.ContentTypeSync"/>
  </ds:schemaRefs>
</ds:datastoreItem>
</file>

<file path=customXml/itemProps5.xml><?xml version="1.0" encoding="utf-8"?>
<ds:datastoreItem xmlns:ds="http://schemas.openxmlformats.org/officeDocument/2006/customXml" ds:itemID="{1574C350-105F-49F7-8241-689368E54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7.xml><?xml version="1.0" encoding="utf-8"?>
<ds:datastoreItem xmlns:ds="http://schemas.openxmlformats.org/officeDocument/2006/customXml" ds:itemID="{A6C76D23-0061-4167-A824-F51B7E21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593</Words>
  <Characters>4811</Characters>
  <Application>Microsoft Office Word</Application>
  <DocSecurity>0</DocSecurity>
  <Lines>40</Lines>
  <Paragraphs>10</Paragraphs>
  <ScaleCrop>false</ScaleCrop>
  <Company>Microsoft</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8</cp:revision>
  <cp:lastPrinted>2019-04-25T01:09:00Z</cp:lastPrinted>
  <dcterms:created xsi:type="dcterms:W3CDTF">2021-03-30T11:10:00Z</dcterms:created>
  <dcterms:modified xsi:type="dcterms:W3CDTF">2021-04-02T12:30:00Z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261ceb9c-5c27-4dbc-a671-cc7e09a66561</vt:lpwstr>
  </property>
</Properties>
</file>